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5DC1A" w14:textId="47AE6CFF" w:rsidR="003F7C3E" w:rsidRDefault="003F7C3E">
      <w:pPr>
        <w:pStyle w:val="Heading1"/>
        <w:spacing w:before="79" w:line="240" w:lineRule="auto"/>
        <w:ind w:left="1898" w:right="1776"/>
        <w:jc w:val="center"/>
      </w:pPr>
      <w:r>
        <w:t>SECTION H</w:t>
      </w:r>
    </w:p>
    <w:p w14:paraId="31284819" w14:textId="77777777" w:rsidR="003F7C3E" w:rsidRDefault="003F7C3E">
      <w:pPr>
        <w:pStyle w:val="Heading1"/>
        <w:spacing w:before="79" w:line="240" w:lineRule="auto"/>
        <w:ind w:left="1898" w:right="1776"/>
        <w:jc w:val="center"/>
      </w:pPr>
    </w:p>
    <w:p w14:paraId="1C0B3569" w14:textId="33A630AB" w:rsidR="001F52B4" w:rsidRDefault="00B17EDB" w:rsidP="003F7C3E">
      <w:pPr>
        <w:pStyle w:val="Heading1"/>
        <w:spacing w:before="79" w:line="240" w:lineRule="auto"/>
        <w:ind w:right="1776"/>
        <w:jc w:val="both"/>
      </w:pPr>
      <w:r>
        <w:t>SPECIAL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REQUIREMENTS</w:t>
      </w:r>
    </w:p>
    <w:p w14:paraId="1C0B356A" w14:textId="77777777" w:rsidR="001F52B4" w:rsidRDefault="001F52B4">
      <w:pPr>
        <w:pStyle w:val="BodyText"/>
        <w:rPr>
          <w:b/>
        </w:rPr>
      </w:pPr>
    </w:p>
    <w:p w14:paraId="1C0B356B" w14:textId="77777777" w:rsidR="001F52B4" w:rsidRDefault="00B17EDB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H-900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PRICING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PAYMENT</w:t>
      </w:r>
    </w:p>
    <w:p w14:paraId="1C0B356C" w14:textId="3BEAC73A" w:rsidR="001F52B4" w:rsidRDefault="00B17EDB">
      <w:pPr>
        <w:pStyle w:val="BodyText"/>
        <w:ind w:left="220" w:right="245"/>
      </w:pPr>
      <w:r>
        <w:rPr>
          <w:b/>
        </w:rPr>
        <w:t>Material</w:t>
      </w:r>
      <w:r>
        <w:t>:</w:t>
      </w:r>
      <w:r>
        <w:rPr>
          <w:spacing w:val="40"/>
        </w:rPr>
        <w:t xml:space="preserve"> </w:t>
      </w:r>
      <w:r>
        <w:t>Material priced at time of award of the contract represents the fixed commodity</w:t>
      </w:r>
      <w:r>
        <w:rPr>
          <w:spacing w:val="-1"/>
        </w:rPr>
        <w:t xml:space="preserve"> </w:t>
      </w:r>
      <w:r>
        <w:t>price for a six-month period.</w:t>
      </w:r>
      <w:r>
        <w:rPr>
          <w:spacing w:val="40"/>
        </w:rPr>
        <w:t xml:space="preserve"> </w:t>
      </w:r>
      <w:r>
        <w:t xml:space="preserve">Those prices will be adjusted semi-annually throughout the life of the contract in accordance with Economic Price Adjustments (EPA) pursuant to </w:t>
      </w:r>
      <w:r w:rsidR="002A6F0E" w:rsidRPr="000220FE">
        <w:t>Procurement Note C09</w:t>
      </w:r>
      <w:r w:rsidR="002A6F0E">
        <w:t>,</w:t>
      </w:r>
      <w:r w:rsidR="002A6F0E" w:rsidRPr="000220FE">
        <w:t xml:space="preserve"> </w:t>
      </w:r>
      <w:r w:rsidR="002A6F0E" w:rsidRPr="000220FE">
        <w:rPr>
          <w:i/>
          <w:iCs/>
        </w:rPr>
        <w:t>Economic Price Adjustment (EPA) – Department of Labor Index</w:t>
      </w:r>
      <w:r w:rsidR="00DC1F6C">
        <w:rPr>
          <w:i/>
          <w:iCs/>
        </w:rPr>
        <w:t xml:space="preserve"> </w:t>
      </w:r>
      <w:r w:rsidR="00DC1F6C">
        <w:t>and Note L24</w:t>
      </w:r>
      <w:r w:rsidR="00696B5A">
        <w:t xml:space="preserve">, </w:t>
      </w:r>
      <w:r w:rsidR="00696B5A" w:rsidRPr="00696B5A">
        <w:rPr>
          <w:i/>
          <w:iCs/>
        </w:rPr>
        <w:t>Economic Price Adjustment (EPA) – Established Prices</w:t>
      </w:r>
      <w:r>
        <w:t>.</w:t>
      </w:r>
      <w:r>
        <w:rPr>
          <w:spacing w:val="80"/>
        </w:rPr>
        <w:t xml:space="preserve"> </w:t>
      </w:r>
      <w:r>
        <w:t>The EPA will only</w:t>
      </w:r>
      <w:r>
        <w:rPr>
          <w:spacing w:val="-7"/>
        </w:rPr>
        <w:t xml:space="preserve"> </w:t>
      </w:r>
      <w:r>
        <w:t>apply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material.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bases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adjustment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 Federal</w:t>
      </w:r>
      <w:r>
        <w:rPr>
          <w:spacing w:val="-2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(FSC) are as follows:</w:t>
      </w:r>
    </w:p>
    <w:p w14:paraId="1C0B356D" w14:textId="77777777" w:rsidR="001F52B4" w:rsidRDefault="001F52B4">
      <w:pPr>
        <w:pStyle w:val="BodyText"/>
        <w:spacing w:before="9"/>
        <w:rPr>
          <w:sz w:val="23"/>
        </w:rPr>
      </w:pPr>
    </w:p>
    <w:p w14:paraId="1C0B356E" w14:textId="77777777" w:rsidR="001F52B4" w:rsidRDefault="00B17EDB">
      <w:pPr>
        <w:pStyle w:val="BodyText"/>
        <w:tabs>
          <w:tab w:val="left" w:pos="1660"/>
        </w:tabs>
        <w:spacing w:before="1"/>
        <w:ind w:left="940"/>
      </w:pPr>
      <w:r>
        <w:rPr>
          <w:spacing w:val="-4"/>
          <w:u w:val="single"/>
        </w:rPr>
        <w:t>FSC:</w:t>
      </w:r>
      <w:r>
        <w:tab/>
      </w:r>
      <w:r>
        <w:rPr>
          <w:u w:val="single"/>
        </w:rPr>
        <w:t>Bureau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Labor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Statistics</w:t>
      </w:r>
      <w:r>
        <w:rPr>
          <w:spacing w:val="-2"/>
          <w:u w:val="single"/>
        </w:rPr>
        <w:t xml:space="preserve"> </w:t>
      </w:r>
      <w:r>
        <w:rPr>
          <w:u w:val="single"/>
        </w:rPr>
        <w:t>(BLS)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Category</w:t>
      </w:r>
    </w:p>
    <w:p w14:paraId="1C0B356F" w14:textId="77777777" w:rsidR="001F52B4" w:rsidRDefault="001F52B4">
      <w:pPr>
        <w:pStyle w:val="BodyText"/>
        <w:spacing w:before="2"/>
        <w:rPr>
          <w:sz w:val="16"/>
        </w:rPr>
      </w:pPr>
    </w:p>
    <w:p w14:paraId="1C0B3570" w14:textId="48EBA02E" w:rsidR="001F52B4" w:rsidRDefault="00B17EDB">
      <w:pPr>
        <w:pStyle w:val="BodyText"/>
        <w:spacing w:before="90"/>
        <w:ind w:left="940" w:right="3562"/>
        <w:jc w:val="both"/>
      </w:pPr>
      <w:r>
        <w:t>6810</w:t>
      </w:r>
      <w:r>
        <w:rPr>
          <w:spacing w:val="80"/>
        </w:rPr>
        <w:t xml:space="preserve"> </w:t>
      </w:r>
      <w:r>
        <w:t>BLS Index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WPU06</w:t>
      </w:r>
      <w:r>
        <w:rPr>
          <w:spacing w:val="-5"/>
        </w:rPr>
        <w:t xml:space="preserve"> </w:t>
      </w:r>
      <w:r>
        <w:t>(Chemicals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allied</w:t>
      </w:r>
      <w:r>
        <w:rPr>
          <w:spacing w:val="-5"/>
        </w:rPr>
        <w:t xml:space="preserve"> </w:t>
      </w:r>
      <w:r>
        <w:t>products) 6820</w:t>
      </w:r>
      <w:r>
        <w:rPr>
          <w:spacing w:val="80"/>
        </w:rPr>
        <w:t xml:space="preserve"> </w:t>
      </w:r>
      <w:r>
        <w:t>BLS Index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WPU06</w:t>
      </w:r>
      <w:r>
        <w:rPr>
          <w:spacing w:val="-5"/>
        </w:rPr>
        <w:t xml:space="preserve"> </w:t>
      </w:r>
      <w:r>
        <w:t>(Chemicals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allied</w:t>
      </w:r>
      <w:r>
        <w:rPr>
          <w:spacing w:val="-5"/>
        </w:rPr>
        <w:t xml:space="preserve"> </w:t>
      </w:r>
      <w:r>
        <w:t>products) 6840</w:t>
      </w:r>
      <w:r>
        <w:rPr>
          <w:spacing w:val="80"/>
        </w:rPr>
        <w:t xml:space="preserve"> </w:t>
      </w:r>
      <w:r>
        <w:t>BLS Index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WPU06</w:t>
      </w:r>
      <w:r>
        <w:rPr>
          <w:spacing w:val="-5"/>
        </w:rPr>
        <w:t xml:space="preserve"> </w:t>
      </w:r>
      <w:r>
        <w:t>(Chemicals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allied</w:t>
      </w:r>
      <w:r>
        <w:rPr>
          <w:spacing w:val="-5"/>
        </w:rPr>
        <w:t xml:space="preserve"> </w:t>
      </w:r>
      <w:r>
        <w:t>products) 6850</w:t>
      </w:r>
      <w:r>
        <w:rPr>
          <w:spacing w:val="56"/>
        </w:rPr>
        <w:t xml:space="preserve"> </w:t>
      </w:r>
      <w:r>
        <w:t>BLS</w:t>
      </w:r>
      <w:r>
        <w:rPr>
          <w:spacing w:val="3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WPU06</w:t>
      </w:r>
      <w:r>
        <w:rPr>
          <w:spacing w:val="-1"/>
        </w:rPr>
        <w:t xml:space="preserve"> </w:t>
      </w:r>
      <w:r>
        <w:t>(Chemicals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allied</w:t>
      </w:r>
      <w:r>
        <w:rPr>
          <w:spacing w:val="-1"/>
        </w:rPr>
        <w:t xml:space="preserve"> </w:t>
      </w:r>
      <w:r>
        <w:rPr>
          <w:spacing w:val="-2"/>
        </w:rPr>
        <w:t>products)</w:t>
      </w:r>
    </w:p>
    <w:p w14:paraId="1C0B3571" w14:textId="77777777" w:rsidR="001F52B4" w:rsidRDefault="001F52B4">
      <w:pPr>
        <w:pStyle w:val="BodyText"/>
      </w:pPr>
    </w:p>
    <w:p w14:paraId="1C0B3572" w14:textId="77777777" w:rsidR="001F52B4" w:rsidRDefault="00B17EDB">
      <w:pPr>
        <w:pStyle w:val="BodyText"/>
        <w:tabs>
          <w:tab w:val="left" w:pos="1660"/>
        </w:tabs>
        <w:ind w:left="940"/>
      </w:pPr>
      <w:r>
        <w:rPr>
          <w:spacing w:val="-4"/>
          <w:u w:val="single"/>
        </w:rPr>
        <w:t>FSC:</w:t>
      </w:r>
      <w:r>
        <w:tab/>
      </w:r>
      <w:r>
        <w:rPr>
          <w:u w:val="single"/>
        </w:rPr>
        <w:t>ICIS</w:t>
      </w:r>
      <w:r>
        <w:rPr>
          <w:spacing w:val="-5"/>
          <w:u w:val="single"/>
        </w:rPr>
        <w:t xml:space="preserve"> </w:t>
      </w:r>
      <w:r>
        <w:rPr>
          <w:u w:val="single"/>
        </w:rPr>
        <w:t>Pricing</w:t>
      </w:r>
      <w:r>
        <w:rPr>
          <w:spacing w:val="-5"/>
          <w:u w:val="single"/>
        </w:rPr>
        <w:t xml:space="preserve"> </w:t>
      </w:r>
      <w:r>
        <w:rPr>
          <w:u w:val="single"/>
        </w:rPr>
        <w:t>and Bureau of</w:t>
      </w:r>
      <w:r>
        <w:rPr>
          <w:spacing w:val="-1"/>
          <w:u w:val="single"/>
        </w:rPr>
        <w:t xml:space="preserve"> </w:t>
      </w:r>
      <w:r>
        <w:rPr>
          <w:u w:val="single"/>
        </w:rPr>
        <w:t>Labor</w:t>
      </w:r>
      <w:r>
        <w:rPr>
          <w:spacing w:val="-2"/>
          <w:u w:val="single"/>
        </w:rPr>
        <w:t xml:space="preserve"> </w:t>
      </w:r>
      <w:r>
        <w:rPr>
          <w:u w:val="single"/>
        </w:rPr>
        <w:t>Statistics</w:t>
      </w:r>
      <w:r>
        <w:rPr>
          <w:spacing w:val="-2"/>
          <w:u w:val="single"/>
        </w:rPr>
        <w:t xml:space="preserve"> </w:t>
      </w:r>
      <w:r>
        <w:rPr>
          <w:u w:val="single"/>
        </w:rPr>
        <w:t>(BLS)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Categories</w:t>
      </w:r>
    </w:p>
    <w:p w14:paraId="1C0B3573" w14:textId="77777777" w:rsidR="001F52B4" w:rsidRDefault="001F52B4">
      <w:pPr>
        <w:pStyle w:val="BodyText"/>
        <w:spacing w:before="2"/>
        <w:rPr>
          <w:sz w:val="16"/>
        </w:rPr>
      </w:pPr>
    </w:p>
    <w:p w14:paraId="1C0B3574" w14:textId="77777777" w:rsidR="001F52B4" w:rsidRDefault="00B17EDB">
      <w:pPr>
        <w:pStyle w:val="BodyText"/>
        <w:spacing w:before="90"/>
        <w:ind w:left="1660" w:right="1413" w:hanging="720"/>
      </w:pPr>
      <w:r>
        <w:t>9150*</w:t>
      </w:r>
      <w:r>
        <w:rPr>
          <w:spacing w:val="40"/>
        </w:rPr>
        <w:t xml:space="preserve"> </w:t>
      </w:r>
      <w:r>
        <w:t>ICIS</w:t>
      </w:r>
      <w:r>
        <w:rPr>
          <w:spacing w:val="-3"/>
        </w:rPr>
        <w:t xml:space="preserve"> </w:t>
      </w:r>
      <w:r>
        <w:t>Pricing</w:t>
      </w:r>
      <w:r>
        <w:rPr>
          <w:spacing w:val="-4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Oils</w:t>
      </w:r>
      <w:r>
        <w:rPr>
          <w:spacing w:val="-3"/>
        </w:rPr>
        <w:t xml:space="preserve"> </w:t>
      </w:r>
      <w:r>
        <w:t>(Americas),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Motiva</w:t>
      </w:r>
      <w:r>
        <w:rPr>
          <w:spacing w:val="-4"/>
        </w:rPr>
        <w:t xml:space="preserve"> </w:t>
      </w:r>
      <w:r>
        <w:t>G.C.</w:t>
      </w:r>
      <w:r>
        <w:rPr>
          <w:spacing w:val="-3"/>
        </w:rPr>
        <w:t xml:space="preserve"> </w:t>
      </w:r>
      <w:r>
        <w:t>200/220 -</w:t>
      </w:r>
      <w:r>
        <w:rPr>
          <w:spacing w:val="-4"/>
        </w:rPr>
        <w:t xml:space="preserve"> </w:t>
      </w:r>
      <w:r>
        <w:t>20% BLS Index - WPU057 (Refined petroleum products) - 10%</w:t>
      </w:r>
    </w:p>
    <w:p w14:paraId="1C0B3575" w14:textId="77777777" w:rsidR="001F52B4" w:rsidRDefault="00B17EDB">
      <w:pPr>
        <w:pStyle w:val="BodyText"/>
        <w:ind w:left="1660" w:right="422"/>
      </w:pPr>
      <w:r>
        <w:t>BLS Index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PCU324191324191</w:t>
      </w:r>
      <w:r>
        <w:rPr>
          <w:spacing w:val="-4"/>
        </w:rPr>
        <w:t xml:space="preserve"> </w:t>
      </w:r>
      <w:r>
        <w:t>(Petroleum</w:t>
      </w:r>
      <w:r>
        <w:rPr>
          <w:spacing w:val="-4"/>
        </w:rPr>
        <w:t xml:space="preserve"> </w:t>
      </w:r>
      <w:r>
        <w:t>lubricating</w:t>
      </w:r>
      <w:r>
        <w:rPr>
          <w:spacing w:val="-7"/>
        </w:rPr>
        <w:t xml:space="preserve"> </w:t>
      </w:r>
      <w:r>
        <w:t>oil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grease</w:t>
      </w:r>
      <w:r>
        <w:rPr>
          <w:spacing w:val="-5"/>
        </w:rPr>
        <w:t xml:space="preserve"> </w:t>
      </w:r>
      <w:proofErr w:type="spellStart"/>
      <w:r>
        <w:t>mfg</w:t>
      </w:r>
      <w:proofErr w:type="spellEnd"/>
      <w:r>
        <w:t>)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50% BLS Index - WPU064101 (Inedible fats and oils) - 10%</w:t>
      </w:r>
    </w:p>
    <w:p w14:paraId="1C0B3576" w14:textId="77777777" w:rsidR="001F52B4" w:rsidRDefault="00B17EDB">
      <w:pPr>
        <w:pStyle w:val="BodyText"/>
        <w:ind w:left="1660"/>
      </w:pPr>
      <w:r>
        <w:t>BLS</w:t>
      </w:r>
      <w:r>
        <w:rPr>
          <w:spacing w:val="2"/>
        </w:rPr>
        <w:t xml:space="preserve"> </w:t>
      </w:r>
      <w:r>
        <w:t>Index –</w:t>
      </w:r>
      <w:r>
        <w:rPr>
          <w:spacing w:val="-3"/>
        </w:rPr>
        <w:t xml:space="preserve"> </w:t>
      </w:r>
      <w:r>
        <w:t>WPU06140197</w:t>
      </w:r>
      <w:r>
        <w:rPr>
          <w:spacing w:val="-2"/>
        </w:rPr>
        <w:t xml:space="preserve"> </w:t>
      </w:r>
      <w:r>
        <w:t>(Aromatics)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10%</w:t>
      </w:r>
    </w:p>
    <w:p w14:paraId="1C0B3577" w14:textId="77777777" w:rsidR="001F52B4" w:rsidRDefault="001F52B4">
      <w:pPr>
        <w:pStyle w:val="BodyText"/>
      </w:pPr>
    </w:p>
    <w:p w14:paraId="1C0B3578" w14:textId="4141F9D1" w:rsidR="001F52B4" w:rsidRDefault="00B17EDB" w:rsidP="00C62422">
      <w:pPr>
        <w:pStyle w:val="BodyText"/>
        <w:ind w:left="216" w:right="245"/>
      </w:pPr>
      <w:r>
        <w:t>*A</w:t>
      </w:r>
      <w:r>
        <w:rPr>
          <w:spacing w:val="-3"/>
        </w:rPr>
        <w:t xml:space="preserve"> </w:t>
      </w:r>
      <w:r>
        <w:t>blended</w:t>
      </w:r>
      <w:r>
        <w:rPr>
          <w:spacing w:val="-3"/>
        </w:rPr>
        <w:t xml:space="preserve"> </w:t>
      </w:r>
      <w:r>
        <w:t>index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FSC</w:t>
      </w:r>
      <w:r>
        <w:rPr>
          <w:spacing w:val="-3"/>
        </w:rPr>
        <w:t xml:space="preserve"> </w:t>
      </w:r>
      <w:r>
        <w:t>9150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weighted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percentages</w:t>
      </w:r>
      <w:r>
        <w:rPr>
          <w:spacing w:val="-3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 categories.</w:t>
      </w:r>
      <w:r>
        <w:rPr>
          <w:spacing w:val="40"/>
        </w:rPr>
        <w:t xml:space="preserve"> </w:t>
      </w:r>
      <w:r>
        <w:t>These weights are assigned per the composition of the material.</w:t>
      </w:r>
      <w:r w:rsidR="006F3942">
        <w:t xml:space="preserve">  Procurement note L24 applies to this index; all others are covered by Note C09.</w:t>
      </w:r>
    </w:p>
    <w:p w14:paraId="1C0B3579" w14:textId="77777777" w:rsidR="001F52B4" w:rsidRDefault="001F52B4" w:rsidP="00C62422">
      <w:pPr>
        <w:pStyle w:val="BodyText"/>
        <w:spacing w:before="1"/>
        <w:ind w:left="216" w:right="245"/>
      </w:pPr>
    </w:p>
    <w:p w14:paraId="1C0B357A" w14:textId="27648251" w:rsidR="001F52B4" w:rsidRDefault="00B17EDB" w:rsidP="00C62422">
      <w:pPr>
        <w:pStyle w:val="BodyText"/>
        <w:ind w:left="216" w:right="245"/>
      </w:pPr>
      <w:r>
        <w:rPr>
          <w:b/>
        </w:rPr>
        <w:t>Supply Chain Support:</w:t>
      </w:r>
      <w:r>
        <w:rPr>
          <w:b/>
          <w:spacing w:val="40"/>
        </w:rPr>
        <w:t xml:space="preserve"> </w:t>
      </w:r>
      <w:r>
        <w:t>Fixed Pricing is established for the level of performance to support demands over a 9-year period which includes a 5-year base period (1 year of transition and 4 years of ordering),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 w:rsidR="00C62422">
        <w:t>3-year</w:t>
      </w:r>
      <w:r>
        <w:rPr>
          <w:spacing w:val="-3"/>
        </w:rPr>
        <w:t xml:space="preserve"> </w:t>
      </w:r>
      <w:r>
        <w:t>ordering</w:t>
      </w:r>
      <w:r>
        <w:rPr>
          <w:spacing w:val="-5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2</w:t>
      </w:r>
      <w:r w:rsidR="00C62422">
        <w:t>-</w:t>
      </w:r>
      <w:r>
        <w:t>year</w:t>
      </w:r>
      <w:r>
        <w:rPr>
          <w:spacing w:val="-2"/>
        </w:rPr>
        <w:t xml:space="preserve"> </w:t>
      </w:r>
      <w:r>
        <w:t>ordering</w:t>
      </w:r>
      <w:r>
        <w:rPr>
          <w:spacing w:val="-5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period.</w:t>
      </w:r>
      <w:r>
        <w:rPr>
          <w:spacing w:val="40"/>
        </w:rPr>
        <w:t xml:space="preserve"> </w:t>
      </w:r>
      <w:r>
        <w:t>All</w:t>
      </w:r>
      <w:r>
        <w:rPr>
          <w:spacing w:val="-3"/>
        </w:rPr>
        <w:t xml:space="preserve"> </w:t>
      </w:r>
      <w:r w:rsidR="00CB3327">
        <w:rPr>
          <w:spacing w:val="-3"/>
        </w:rPr>
        <w:t>charges</w:t>
      </w:r>
      <w:r>
        <w:t xml:space="preserve"> will be paid against the referenced Contract </w:t>
      </w:r>
      <w:r w:rsidR="00C62422">
        <w:t>Line-Item</w:t>
      </w:r>
      <w:r>
        <w:t xml:space="preserve"> Number (CLIN) on the delivery order.</w:t>
      </w:r>
    </w:p>
    <w:p w14:paraId="1C0B357B" w14:textId="77777777" w:rsidR="001F52B4" w:rsidRDefault="001F52B4">
      <w:pPr>
        <w:pStyle w:val="BodyText"/>
      </w:pPr>
    </w:p>
    <w:p w14:paraId="1C0B357C" w14:textId="5F80BAA1" w:rsidR="001F52B4" w:rsidRDefault="00B17EDB" w:rsidP="00C62422">
      <w:pPr>
        <w:pStyle w:val="ListParagraph"/>
        <w:numPr>
          <w:ilvl w:val="0"/>
          <w:numId w:val="1"/>
        </w:numPr>
        <w:tabs>
          <w:tab w:val="left" w:pos="2020"/>
        </w:tabs>
        <w:ind w:left="965" w:right="754"/>
        <w:rPr>
          <w:sz w:val="24"/>
        </w:rPr>
      </w:pPr>
      <w:r>
        <w:rPr>
          <w:b/>
          <w:sz w:val="24"/>
        </w:rPr>
        <w:t>Transition</w:t>
      </w:r>
      <w:r>
        <w:rPr>
          <w:b/>
          <w:spacing w:val="-3"/>
          <w:sz w:val="24"/>
        </w:rPr>
        <w:t xml:space="preserve"> </w:t>
      </w:r>
      <w:r w:rsidR="00075A28">
        <w:rPr>
          <w:b/>
          <w:spacing w:val="-3"/>
          <w:sz w:val="24"/>
        </w:rPr>
        <w:t>Charge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fixed</w:t>
      </w:r>
      <w:r>
        <w:rPr>
          <w:spacing w:val="-4"/>
          <w:sz w:val="24"/>
        </w:rPr>
        <w:t xml:space="preserve"> </w:t>
      </w:r>
      <w:r>
        <w:rPr>
          <w:sz w:val="24"/>
        </w:rPr>
        <w:t>dollar</w:t>
      </w:r>
      <w:r>
        <w:rPr>
          <w:spacing w:val="-4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cover transition and implementation costs.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</w:t>
      </w:r>
      <w:r w:rsidR="00075A28">
        <w:rPr>
          <w:sz w:val="24"/>
        </w:rPr>
        <w:t>charge</w:t>
      </w:r>
      <w:r>
        <w:rPr>
          <w:sz w:val="24"/>
        </w:rPr>
        <w:t xml:space="preserve"> will be paid in accordance with established milestones as defined by the approved transition plan</w:t>
      </w:r>
      <w:r w:rsidR="00CB3327">
        <w:rPr>
          <w:sz w:val="24"/>
        </w:rPr>
        <w:t>*</w:t>
      </w:r>
      <w:r>
        <w:rPr>
          <w:sz w:val="24"/>
        </w:rPr>
        <w:t>.</w:t>
      </w:r>
    </w:p>
    <w:p w14:paraId="686A4202" w14:textId="780673AF" w:rsidR="00C62422" w:rsidRPr="00C62422" w:rsidRDefault="00CB3327" w:rsidP="00CB3327">
      <w:pPr>
        <w:pStyle w:val="Default"/>
        <w:ind w:left="965"/>
      </w:pPr>
      <w:r>
        <w:t>*</w:t>
      </w:r>
      <w:r w:rsidR="00C62422" w:rsidRPr="00C62422">
        <w:t xml:space="preserve">In the event the incumbent is the awardee, the transition period will be negotiated with the </w:t>
      </w:r>
      <w:r w:rsidRPr="00C62422">
        <w:t>incumbent</w:t>
      </w:r>
    </w:p>
    <w:p w14:paraId="1C0B357D" w14:textId="77777777" w:rsidR="001F52B4" w:rsidRDefault="001F52B4" w:rsidP="00C62422">
      <w:pPr>
        <w:pStyle w:val="BodyText"/>
        <w:ind w:left="965"/>
      </w:pPr>
    </w:p>
    <w:p w14:paraId="1C0B357E" w14:textId="50006702" w:rsidR="001F52B4" w:rsidRDefault="00B17EDB" w:rsidP="00C62422">
      <w:pPr>
        <w:pStyle w:val="ListParagraph"/>
        <w:numPr>
          <w:ilvl w:val="0"/>
          <w:numId w:val="1"/>
        </w:numPr>
        <w:tabs>
          <w:tab w:val="left" w:pos="2020"/>
        </w:tabs>
        <w:ind w:left="965" w:right="305"/>
        <w:rPr>
          <w:sz w:val="24"/>
        </w:rPr>
      </w:pPr>
      <w:r>
        <w:rPr>
          <w:b/>
          <w:sz w:val="24"/>
        </w:rPr>
        <w:t>Management</w:t>
      </w:r>
      <w:r>
        <w:rPr>
          <w:b/>
          <w:spacing w:val="-2"/>
          <w:sz w:val="24"/>
        </w:rPr>
        <w:t xml:space="preserve"> </w:t>
      </w:r>
      <w:r w:rsidR="00075A28">
        <w:rPr>
          <w:b/>
          <w:spacing w:val="-2"/>
          <w:sz w:val="24"/>
        </w:rPr>
        <w:t>Charge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fixed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dollar</w:t>
      </w:r>
      <w:r>
        <w:rPr>
          <w:spacing w:val="-5"/>
          <w:sz w:val="24"/>
        </w:rPr>
        <w:t xml:space="preserve"> </w:t>
      </w: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fixed</w:t>
      </w:r>
      <w:r>
        <w:rPr>
          <w:spacing w:val="-3"/>
          <w:sz w:val="24"/>
        </w:rPr>
        <w:t xml:space="preserve"> </w:t>
      </w:r>
      <w:r>
        <w:rPr>
          <w:sz w:val="24"/>
        </w:rPr>
        <w:t>costs incurred in the overall management of the supply chain.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This </w:t>
      </w:r>
      <w:r w:rsidR="00075A28">
        <w:rPr>
          <w:sz w:val="24"/>
        </w:rPr>
        <w:t>charge</w:t>
      </w:r>
      <w:r>
        <w:rPr>
          <w:sz w:val="24"/>
        </w:rPr>
        <w:t xml:space="preserve"> is applicable throughout the entire contract term and is paid monthly.</w:t>
      </w:r>
    </w:p>
    <w:p w14:paraId="1C0B357F" w14:textId="77777777" w:rsidR="001F52B4" w:rsidRDefault="001F52B4" w:rsidP="00C62422">
      <w:pPr>
        <w:pStyle w:val="BodyText"/>
        <w:spacing w:before="1"/>
        <w:ind w:left="965"/>
      </w:pPr>
    </w:p>
    <w:p w14:paraId="1C0B3580" w14:textId="1DDFDAF8" w:rsidR="001F52B4" w:rsidRDefault="00B17EDB" w:rsidP="00C62422">
      <w:pPr>
        <w:pStyle w:val="ListParagraph"/>
        <w:numPr>
          <w:ilvl w:val="0"/>
          <w:numId w:val="1"/>
        </w:numPr>
        <w:tabs>
          <w:tab w:val="left" w:pos="2020"/>
        </w:tabs>
        <w:ind w:left="965"/>
        <w:rPr>
          <w:sz w:val="24"/>
        </w:rPr>
      </w:pPr>
      <w:r>
        <w:rPr>
          <w:b/>
          <w:sz w:val="24"/>
        </w:rPr>
        <w:t>Throughput</w:t>
      </w:r>
      <w:r>
        <w:rPr>
          <w:b/>
          <w:spacing w:val="-3"/>
          <w:sz w:val="24"/>
        </w:rPr>
        <w:t xml:space="preserve"> </w:t>
      </w:r>
      <w:r w:rsidR="00075A28">
        <w:rPr>
          <w:b/>
          <w:spacing w:val="-3"/>
          <w:sz w:val="24"/>
        </w:rPr>
        <w:t>Charge</w:t>
      </w:r>
      <w:r>
        <w:rPr>
          <w:b/>
          <w:sz w:val="24"/>
        </w:rPr>
        <w:t>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fixed</w:t>
      </w:r>
      <w:r>
        <w:rPr>
          <w:spacing w:val="-3"/>
          <w:sz w:val="24"/>
        </w:rPr>
        <w:t xml:space="preserve"> </w:t>
      </w:r>
      <w:r>
        <w:rPr>
          <w:sz w:val="24"/>
        </w:rPr>
        <w:t>percentage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-2"/>
          <w:sz w:val="24"/>
        </w:rPr>
        <w:t xml:space="preserve"> </w:t>
      </w:r>
      <w:r>
        <w:rPr>
          <w:sz w:val="24"/>
        </w:rPr>
        <w:t>expenses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vary</w:t>
      </w:r>
      <w:r>
        <w:rPr>
          <w:spacing w:val="-8"/>
          <w:sz w:val="24"/>
        </w:rPr>
        <w:t xml:space="preserve"> </w:t>
      </w:r>
      <w:r>
        <w:rPr>
          <w:sz w:val="24"/>
        </w:rPr>
        <w:t>with the volume of business such as the costs of transportation and warehousing.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</w:t>
      </w:r>
      <w:r w:rsidR="00075A28">
        <w:rPr>
          <w:sz w:val="24"/>
        </w:rPr>
        <w:t>charge</w:t>
      </w:r>
      <w:r>
        <w:rPr>
          <w:sz w:val="24"/>
        </w:rPr>
        <w:t xml:space="preserve"> is</w:t>
      </w:r>
      <w:r>
        <w:rPr>
          <w:spacing w:val="-1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NSN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issued.</w:t>
      </w:r>
      <w:r>
        <w:rPr>
          <w:spacing w:val="80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 w:rsidR="00075A28">
        <w:rPr>
          <w:spacing w:val="-1"/>
          <w:sz w:val="24"/>
        </w:rPr>
        <w:t>charge</w:t>
      </w:r>
      <w:r>
        <w:rPr>
          <w:sz w:val="24"/>
        </w:rPr>
        <w:t xml:space="preserve"> is applicable throughout the entire contract.</w:t>
      </w:r>
    </w:p>
    <w:p w14:paraId="1C0B3581" w14:textId="77777777" w:rsidR="001F52B4" w:rsidRDefault="001F52B4">
      <w:pPr>
        <w:pStyle w:val="BodyText"/>
        <w:rPr>
          <w:sz w:val="26"/>
        </w:rPr>
      </w:pPr>
    </w:p>
    <w:p w14:paraId="1C0B3582" w14:textId="77777777" w:rsidR="001F52B4" w:rsidRDefault="001F52B4">
      <w:pPr>
        <w:pStyle w:val="BodyText"/>
        <w:spacing w:before="5"/>
        <w:rPr>
          <w:sz w:val="22"/>
        </w:rPr>
      </w:pPr>
    </w:p>
    <w:p w14:paraId="1C0B3583" w14:textId="2EEB26B7" w:rsidR="001F52B4" w:rsidRDefault="00B17EDB">
      <w:pPr>
        <w:pStyle w:val="Heading1"/>
        <w:spacing w:line="240" w:lineRule="auto"/>
      </w:pPr>
      <w:r>
        <w:t>H-901</w:t>
      </w:r>
      <w:r>
        <w:rPr>
          <w:spacing w:val="57"/>
        </w:rPr>
        <w:t xml:space="preserve"> </w:t>
      </w:r>
      <w:r>
        <w:t>CUSTOMER DIRECT FILL</w:t>
      </w:r>
      <w:r>
        <w:rPr>
          <w:spacing w:val="-1"/>
        </w:rPr>
        <w:t xml:space="preserve"> </w:t>
      </w:r>
      <w:r>
        <w:t xml:space="preserve">RATE </w:t>
      </w:r>
      <w:r>
        <w:rPr>
          <w:spacing w:val="-2"/>
        </w:rPr>
        <w:t>METRIC</w:t>
      </w:r>
    </w:p>
    <w:p w14:paraId="1C0B3586" w14:textId="11634A0E" w:rsidR="001F52B4" w:rsidRDefault="00B17EDB" w:rsidP="00B17EDB">
      <w:pPr>
        <w:pStyle w:val="BodyText"/>
        <w:spacing w:before="74"/>
        <w:ind w:left="220" w:right="245"/>
      </w:pPr>
      <w:r>
        <w:rPr>
          <w:b/>
        </w:rPr>
        <w:t>Customer Direct Fill Rate (CDFR)</w:t>
      </w:r>
      <w:r>
        <w:t>: The amount of time measured from receipt of order to shipment.</w:t>
      </w:r>
      <w:r>
        <w:rPr>
          <w:spacing w:val="40"/>
        </w:rPr>
        <w:t xml:space="preserve"> </w:t>
      </w:r>
      <w:r>
        <w:t>Although the contractor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Definite</w:t>
      </w:r>
      <w:r>
        <w:rPr>
          <w:spacing w:val="-3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(TDD)</w:t>
      </w:r>
      <w:r>
        <w:rPr>
          <w:spacing w:val="-4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of Work (SOW), the CDFR will be measured based on ship date rather than delivery receipt date.  Monthly</w:t>
      </w:r>
      <w:r>
        <w:rPr>
          <w:spacing w:val="-8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computed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contractor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 occur.</w:t>
      </w:r>
      <w:r>
        <w:rPr>
          <w:spacing w:val="40"/>
        </w:rPr>
        <w:t xml:space="preserve"> </w:t>
      </w:r>
      <w:r>
        <w:t>The annual performance CDFR</w:t>
      </w:r>
      <w:r w:rsidR="00E23188">
        <w:t xml:space="preserve"> Percentage (%)</w:t>
      </w:r>
      <w:r>
        <w:t xml:space="preserve"> will be computed using the formula below:</w:t>
      </w:r>
    </w:p>
    <w:p w14:paraId="1C0B3587" w14:textId="77777777" w:rsidR="001F52B4" w:rsidRDefault="001F52B4">
      <w:pPr>
        <w:pStyle w:val="BodyText"/>
        <w:spacing w:before="11"/>
        <w:rPr>
          <w:sz w:val="23"/>
        </w:rPr>
      </w:pPr>
    </w:p>
    <w:p w14:paraId="1C0B358A" w14:textId="3CE0BE25" w:rsidR="001F52B4" w:rsidRDefault="00B17EDB">
      <w:pPr>
        <w:pStyle w:val="BodyText"/>
        <w:ind w:left="220"/>
      </w:pPr>
      <w:r>
        <w:t>CDFR%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(TRS/TRR)</w:t>
      </w:r>
      <w:r>
        <w:rPr>
          <w:spacing w:val="-1"/>
        </w:rPr>
        <w:t xml:space="preserve"> </w:t>
      </w:r>
      <w:r>
        <w:t xml:space="preserve">* </w:t>
      </w:r>
      <w:r>
        <w:rPr>
          <w:spacing w:val="-5"/>
        </w:rPr>
        <w:t>100</w:t>
      </w:r>
    </w:p>
    <w:p w14:paraId="1C0B358B" w14:textId="77777777" w:rsidR="001F52B4" w:rsidRDefault="001F52B4">
      <w:pPr>
        <w:pStyle w:val="BodyText"/>
      </w:pPr>
    </w:p>
    <w:p w14:paraId="1C0B358C" w14:textId="79E19C42" w:rsidR="001F52B4" w:rsidRDefault="00B17EDB">
      <w:pPr>
        <w:pStyle w:val="BodyText"/>
        <w:ind w:left="220"/>
      </w:pPr>
      <w:r>
        <w:t>Where:</w:t>
      </w:r>
      <w:r>
        <w:rPr>
          <w:spacing w:val="-2"/>
        </w:rPr>
        <w:t xml:space="preserve"> </w:t>
      </w:r>
      <w:r>
        <w:t>FR%</w:t>
      </w:r>
      <w:r>
        <w:rPr>
          <w:spacing w:val="-2"/>
        </w:rPr>
        <w:t xml:space="preserve"> </w:t>
      </w:r>
      <w:r>
        <w:t>= Customer Direct Fill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(rounded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nearest</w:t>
      </w:r>
      <w:r>
        <w:rPr>
          <w:spacing w:val="-1"/>
        </w:rPr>
        <w:t xml:space="preserve"> </w:t>
      </w:r>
      <w:r>
        <w:rPr>
          <w:spacing w:val="-2"/>
        </w:rPr>
        <w:t>tenth)</w:t>
      </w:r>
    </w:p>
    <w:p w14:paraId="1C0B358D" w14:textId="77777777" w:rsidR="001F52B4" w:rsidRDefault="00B17EDB">
      <w:pPr>
        <w:pStyle w:val="BodyText"/>
        <w:ind w:left="940" w:right="1413"/>
      </w:pPr>
      <w:r>
        <w:t>TRS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shipped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measurement</w:t>
      </w:r>
      <w:r>
        <w:rPr>
          <w:spacing w:val="-4"/>
        </w:rPr>
        <w:t xml:space="preserve"> </w:t>
      </w:r>
      <w:r>
        <w:t>times TRR = Total orders received in a specific performance period</w:t>
      </w:r>
    </w:p>
    <w:p w14:paraId="1C0B358E" w14:textId="77777777" w:rsidR="001F52B4" w:rsidRDefault="001F52B4">
      <w:pPr>
        <w:pStyle w:val="BodyText"/>
      </w:pPr>
    </w:p>
    <w:p w14:paraId="1C0B358F" w14:textId="54D1D835" w:rsidR="001F52B4" w:rsidRDefault="00B17EDB">
      <w:pPr>
        <w:pStyle w:val="BodyText"/>
        <w:ind w:left="22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Customer Direct </w:t>
      </w:r>
      <w:r>
        <w:t>Fill Rate</w:t>
      </w:r>
      <w:r>
        <w:rPr>
          <w:spacing w:val="-2"/>
        </w:rPr>
        <w:t xml:space="preserve"> </w:t>
      </w:r>
      <w:r>
        <w:t>charts illustrate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5F10BE">
        <w:rPr>
          <w:spacing w:val="-1"/>
        </w:rPr>
        <w:t xml:space="preserve">incentives and </w:t>
      </w:r>
      <w:r>
        <w:rPr>
          <w:spacing w:val="-2"/>
        </w:rPr>
        <w:t>disincentives.</w:t>
      </w:r>
      <w:r w:rsidR="00EA3857">
        <w:rPr>
          <w:spacing w:val="-2"/>
        </w:rPr>
        <w:t xml:space="preserve">  </w:t>
      </w:r>
    </w:p>
    <w:p w14:paraId="1C0B3590" w14:textId="77777777" w:rsidR="001F52B4" w:rsidRDefault="001F52B4">
      <w:pPr>
        <w:pStyle w:val="BodyText"/>
        <w:spacing w:before="6" w:after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6"/>
        <w:gridCol w:w="5449"/>
      </w:tblGrid>
      <w:tr w:rsidR="001F52B4" w14:paraId="1C0B3592" w14:textId="77777777" w:rsidTr="005F10BE">
        <w:trPr>
          <w:trHeight w:val="275"/>
        </w:trPr>
        <w:tc>
          <w:tcPr>
            <w:tcW w:w="10238" w:type="dxa"/>
            <w:gridSpan w:val="2"/>
          </w:tcPr>
          <w:p w14:paraId="1C0B3591" w14:textId="77777777" w:rsidR="001F52B4" w:rsidRDefault="00B17EDB">
            <w:pPr>
              <w:pStyle w:val="TableParagraph"/>
              <w:ind w:left="5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 (Completion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completion)</w:t>
            </w:r>
          </w:p>
        </w:tc>
      </w:tr>
      <w:tr w:rsidR="001F52B4" w14:paraId="1C0B3595" w14:textId="77777777" w:rsidTr="005F10BE">
        <w:trPr>
          <w:trHeight w:val="275"/>
        </w:trPr>
        <w:tc>
          <w:tcPr>
            <w:tcW w:w="4789" w:type="dxa"/>
          </w:tcPr>
          <w:p w14:paraId="1C0B3593" w14:textId="5BD93633" w:rsidR="001F52B4" w:rsidRDefault="00B17EDB">
            <w:pPr>
              <w:pStyle w:val="TableParagraph"/>
              <w:ind w:left="1600" w:right="1593"/>
              <w:rPr>
                <w:b/>
                <w:sz w:val="24"/>
              </w:rPr>
            </w:pPr>
            <w:r>
              <w:rPr>
                <w:b/>
                <w:sz w:val="24"/>
              </w:rPr>
              <w:t>CDFR</w:t>
            </w:r>
          </w:p>
        </w:tc>
        <w:tc>
          <w:tcPr>
            <w:tcW w:w="5449" w:type="dxa"/>
          </w:tcPr>
          <w:p w14:paraId="1C0B3594" w14:textId="09406DCF" w:rsidR="001F52B4" w:rsidRDefault="005F10BE">
            <w:pPr>
              <w:pStyle w:val="TableParagraph"/>
              <w:ind w:left="1600" w:right="15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Incentive/Disincentive</w:t>
            </w:r>
          </w:p>
        </w:tc>
      </w:tr>
      <w:tr w:rsidR="00E11C34" w14:paraId="7547AB98" w14:textId="77777777" w:rsidTr="00D40E2A">
        <w:trPr>
          <w:trHeight w:val="274"/>
        </w:trPr>
        <w:tc>
          <w:tcPr>
            <w:tcW w:w="5616" w:type="dxa"/>
          </w:tcPr>
          <w:p w14:paraId="17E8FAAB" w14:textId="6FC1F22B" w:rsidR="00E11C34" w:rsidRDefault="00E11C34" w:rsidP="00450423">
            <w:pPr>
              <w:pStyle w:val="TableParagraph"/>
              <w:ind w:left="1598" w:right="1593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5449" w:type="dxa"/>
          </w:tcPr>
          <w:p w14:paraId="5FE5284B" w14:textId="5334BD4E" w:rsidR="00E11C34" w:rsidRDefault="00E11C34" w:rsidP="0045042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5.5%</w:t>
            </w:r>
          </w:p>
        </w:tc>
      </w:tr>
      <w:tr w:rsidR="00F526D7" w14:paraId="184A1C9C" w14:textId="77777777" w:rsidTr="00D40E2A">
        <w:trPr>
          <w:trHeight w:val="274"/>
        </w:trPr>
        <w:tc>
          <w:tcPr>
            <w:tcW w:w="5616" w:type="dxa"/>
          </w:tcPr>
          <w:p w14:paraId="3CAAC1E2" w14:textId="7390B9BD" w:rsidR="00F526D7" w:rsidRDefault="007424DD" w:rsidP="00450423">
            <w:pPr>
              <w:pStyle w:val="TableParagraph"/>
              <w:ind w:left="1598" w:right="1593"/>
              <w:rPr>
                <w:sz w:val="24"/>
              </w:rPr>
            </w:pPr>
            <w:r>
              <w:rPr>
                <w:sz w:val="24"/>
              </w:rPr>
              <w:t>99</w:t>
            </w:r>
            <w:r w:rsidR="00E11C34">
              <w:rPr>
                <w:sz w:val="24"/>
              </w:rPr>
              <w:t>% - 99.9%</w:t>
            </w:r>
          </w:p>
        </w:tc>
        <w:tc>
          <w:tcPr>
            <w:tcW w:w="5449" w:type="dxa"/>
          </w:tcPr>
          <w:p w14:paraId="7DDCBCF6" w14:textId="5930C424" w:rsidR="00F526D7" w:rsidRDefault="00E11C34" w:rsidP="0045042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5.0%</w:t>
            </w:r>
          </w:p>
        </w:tc>
      </w:tr>
      <w:tr w:rsidR="00F526D7" w14:paraId="36D2B2EB" w14:textId="77777777" w:rsidTr="00D40E2A">
        <w:trPr>
          <w:trHeight w:val="274"/>
        </w:trPr>
        <w:tc>
          <w:tcPr>
            <w:tcW w:w="5616" w:type="dxa"/>
          </w:tcPr>
          <w:p w14:paraId="2CC1898C" w14:textId="59296B05" w:rsidR="00F526D7" w:rsidRDefault="007424DD" w:rsidP="00450423">
            <w:pPr>
              <w:pStyle w:val="TableParagraph"/>
              <w:ind w:left="1598" w:right="1593"/>
              <w:rPr>
                <w:sz w:val="24"/>
              </w:rPr>
            </w:pPr>
            <w:r>
              <w:rPr>
                <w:sz w:val="24"/>
              </w:rPr>
              <w:t>98% - 98.9%</w:t>
            </w:r>
          </w:p>
        </w:tc>
        <w:tc>
          <w:tcPr>
            <w:tcW w:w="5449" w:type="dxa"/>
          </w:tcPr>
          <w:p w14:paraId="17C68B17" w14:textId="3A98044D" w:rsidR="00F526D7" w:rsidRDefault="007424DD" w:rsidP="0045042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4.4%</w:t>
            </w:r>
          </w:p>
        </w:tc>
      </w:tr>
      <w:tr w:rsidR="00F526D7" w14:paraId="315ECC99" w14:textId="77777777" w:rsidTr="00D40E2A">
        <w:trPr>
          <w:trHeight w:val="274"/>
        </w:trPr>
        <w:tc>
          <w:tcPr>
            <w:tcW w:w="5616" w:type="dxa"/>
          </w:tcPr>
          <w:p w14:paraId="4F43CA69" w14:textId="4A4BFA52" w:rsidR="00F526D7" w:rsidRDefault="007424DD" w:rsidP="00450423">
            <w:pPr>
              <w:pStyle w:val="TableParagraph"/>
              <w:ind w:left="1598" w:right="1593"/>
              <w:rPr>
                <w:sz w:val="24"/>
              </w:rPr>
            </w:pPr>
            <w:r>
              <w:rPr>
                <w:sz w:val="24"/>
              </w:rPr>
              <w:t>97% - 97.9%</w:t>
            </w:r>
          </w:p>
        </w:tc>
        <w:tc>
          <w:tcPr>
            <w:tcW w:w="5449" w:type="dxa"/>
          </w:tcPr>
          <w:p w14:paraId="76B8FA14" w14:textId="65E606E5" w:rsidR="00F526D7" w:rsidRDefault="007424DD" w:rsidP="0045042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3.7%</w:t>
            </w:r>
          </w:p>
        </w:tc>
      </w:tr>
      <w:tr w:rsidR="00450423" w14:paraId="7D310019" w14:textId="77777777" w:rsidTr="00D40E2A">
        <w:trPr>
          <w:trHeight w:val="274"/>
        </w:trPr>
        <w:tc>
          <w:tcPr>
            <w:tcW w:w="5616" w:type="dxa"/>
          </w:tcPr>
          <w:p w14:paraId="69A4A1CA" w14:textId="7966B9C0" w:rsidR="00450423" w:rsidRDefault="007424DD" w:rsidP="00450423">
            <w:pPr>
              <w:pStyle w:val="TableParagraph"/>
              <w:ind w:left="1598" w:right="1593"/>
              <w:rPr>
                <w:sz w:val="24"/>
              </w:rPr>
            </w:pPr>
            <w:r>
              <w:rPr>
                <w:sz w:val="24"/>
              </w:rPr>
              <w:t>96% - 96.9%</w:t>
            </w:r>
          </w:p>
        </w:tc>
        <w:tc>
          <w:tcPr>
            <w:tcW w:w="5449" w:type="dxa"/>
          </w:tcPr>
          <w:p w14:paraId="6BDFA104" w14:textId="2E99D616" w:rsidR="00450423" w:rsidRDefault="000D1B0E" w:rsidP="0045042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2.8%</w:t>
            </w:r>
          </w:p>
        </w:tc>
      </w:tr>
      <w:tr w:rsidR="00450423" w14:paraId="2A235381" w14:textId="77777777" w:rsidTr="005F10BE">
        <w:trPr>
          <w:trHeight w:val="275"/>
        </w:trPr>
        <w:tc>
          <w:tcPr>
            <w:tcW w:w="4789" w:type="dxa"/>
          </w:tcPr>
          <w:p w14:paraId="5BDDC3C7" w14:textId="7360AA7B" w:rsidR="00450423" w:rsidRDefault="007424DD" w:rsidP="00450423">
            <w:pPr>
              <w:pStyle w:val="TableParagraph"/>
              <w:ind w:left="1598" w:right="1593"/>
              <w:rPr>
                <w:sz w:val="24"/>
              </w:rPr>
            </w:pPr>
            <w:r>
              <w:rPr>
                <w:sz w:val="24"/>
              </w:rPr>
              <w:t>95% - 95.9%</w:t>
            </w:r>
          </w:p>
        </w:tc>
        <w:tc>
          <w:tcPr>
            <w:tcW w:w="5449" w:type="dxa"/>
          </w:tcPr>
          <w:p w14:paraId="65AC9D81" w14:textId="58FA29A0" w:rsidR="00450423" w:rsidRDefault="000D1B0E" w:rsidP="0045042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2.1%</w:t>
            </w:r>
          </w:p>
        </w:tc>
      </w:tr>
      <w:tr w:rsidR="00450423" w14:paraId="4D562D57" w14:textId="77777777" w:rsidTr="005F10BE">
        <w:trPr>
          <w:trHeight w:val="275"/>
        </w:trPr>
        <w:tc>
          <w:tcPr>
            <w:tcW w:w="4789" w:type="dxa"/>
          </w:tcPr>
          <w:p w14:paraId="28473616" w14:textId="0458E33C" w:rsidR="00450423" w:rsidRDefault="007424DD" w:rsidP="00450423">
            <w:pPr>
              <w:pStyle w:val="TableParagraph"/>
              <w:ind w:left="1598" w:right="1593"/>
              <w:rPr>
                <w:sz w:val="24"/>
              </w:rPr>
            </w:pPr>
            <w:r>
              <w:rPr>
                <w:sz w:val="24"/>
              </w:rPr>
              <w:t>94% - 94.9%</w:t>
            </w:r>
          </w:p>
        </w:tc>
        <w:tc>
          <w:tcPr>
            <w:tcW w:w="5449" w:type="dxa"/>
          </w:tcPr>
          <w:p w14:paraId="4EF2A2A3" w14:textId="24D7A306" w:rsidR="00450423" w:rsidRDefault="00F526D7" w:rsidP="0045042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1.6%</w:t>
            </w:r>
          </w:p>
        </w:tc>
      </w:tr>
      <w:tr w:rsidR="00450423" w14:paraId="261C3234" w14:textId="77777777" w:rsidTr="005F10BE">
        <w:trPr>
          <w:trHeight w:val="275"/>
        </w:trPr>
        <w:tc>
          <w:tcPr>
            <w:tcW w:w="4789" w:type="dxa"/>
          </w:tcPr>
          <w:p w14:paraId="7E16528B" w14:textId="19B8934E" w:rsidR="00450423" w:rsidRDefault="000D1B0E" w:rsidP="00450423">
            <w:pPr>
              <w:pStyle w:val="TableParagraph"/>
              <w:ind w:left="1598" w:right="1593"/>
              <w:rPr>
                <w:sz w:val="24"/>
              </w:rPr>
            </w:pPr>
            <w:r>
              <w:rPr>
                <w:sz w:val="24"/>
              </w:rPr>
              <w:t>93.1</w:t>
            </w:r>
            <w:r w:rsidR="007424DD">
              <w:rPr>
                <w:sz w:val="24"/>
              </w:rPr>
              <w:t>% - 93.9%</w:t>
            </w:r>
          </w:p>
        </w:tc>
        <w:tc>
          <w:tcPr>
            <w:tcW w:w="5449" w:type="dxa"/>
          </w:tcPr>
          <w:p w14:paraId="3969ACEF" w14:textId="73AB5ABF" w:rsidR="00450423" w:rsidRDefault="00F526D7" w:rsidP="00450423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1.2%</w:t>
            </w:r>
          </w:p>
        </w:tc>
      </w:tr>
      <w:tr w:rsidR="001F52B4" w14:paraId="1C0B3598" w14:textId="77777777" w:rsidTr="005F10BE">
        <w:trPr>
          <w:trHeight w:val="275"/>
        </w:trPr>
        <w:tc>
          <w:tcPr>
            <w:tcW w:w="4789" w:type="dxa"/>
          </w:tcPr>
          <w:p w14:paraId="1C0B3596" w14:textId="6A06CE38" w:rsidR="001F52B4" w:rsidRDefault="00B17EDB">
            <w:pPr>
              <w:pStyle w:val="TableParagraph"/>
              <w:ind w:left="1598" w:right="1593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3"/>
                <w:sz w:val="24"/>
              </w:rPr>
              <w:t xml:space="preserve"> </w:t>
            </w:r>
            <w:r w:rsidR="00450423">
              <w:rPr>
                <w:sz w:val="24"/>
              </w:rPr>
              <w:t>- 9</w:t>
            </w:r>
            <w:r w:rsidR="008B39DE">
              <w:rPr>
                <w:sz w:val="24"/>
              </w:rPr>
              <w:t>3</w:t>
            </w:r>
            <w:r w:rsidR="00450423">
              <w:rPr>
                <w:sz w:val="24"/>
              </w:rPr>
              <w:t>%</w:t>
            </w:r>
          </w:p>
        </w:tc>
        <w:tc>
          <w:tcPr>
            <w:tcW w:w="5449" w:type="dxa"/>
          </w:tcPr>
          <w:p w14:paraId="1C0B3597" w14:textId="77777777" w:rsidR="001F52B4" w:rsidRDefault="00B17ED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1F52B4" w14:paraId="1C0B359B" w14:textId="77777777" w:rsidTr="005F10BE">
        <w:trPr>
          <w:trHeight w:val="275"/>
        </w:trPr>
        <w:tc>
          <w:tcPr>
            <w:tcW w:w="4789" w:type="dxa"/>
          </w:tcPr>
          <w:p w14:paraId="1C0B3599" w14:textId="77777777" w:rsidR="001F52B4" w:rsidRDefault="00B17EDB">
            <w:pPr>
              <w:pStyle w:val="TableParagraph"/>
              <w:ind w:left="1600" w:right="1593"/>
              <w:rPr>
                <w:sz w:val="24"/>
              </w:rPr>
            </w:pPr>
            <w:r>
              <w:rPr>
                <w:sz w:val="24"/>
              </w:rPr>
              <w:t>88%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89.9%</w:t>
            </w:r>
          </w:p>
        </w:tc>
        <w:tc>
          <w:tcPr>
            <w:tcW w:w="5449" w:type="dxa"/>
          </w:tcPr>
          <w:p w14:paraId="1C0B359A" w14:textId="77777777" w:rsidR="001F52B4" w:rsidRDefault="00B17EDB">
            <w:pPr>
              <w:pStyle w:val="TableParagraph"/>
              <w:ind w:left="1600" w:right="1593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3%</w:t>
            </w:r>
          </w:p>
        </w:tc>
      </w:tr>
      <w:tr w:rsidR="001F52B4" w14:paraId="1C0B359E" w14:textId="77777777" w:rsidTr="005F10BE">
        <w:trPr>
          <w:trHeight w:val="277"/>
        </w:trPr>
        <w:tc>
          <w:tcPr>
            <w:tcW w:w="4789" w:type="dxa"/>
          </w:tcPr>
          <w:p w14:paraId="1C0B359C" w14:textId="77777777" w:rsidR="001F52B4" w:rsidRDefault="00B17EDB">
            <w:pPr>
              <w:pStyle w:val="TableParagraph"/>
              <w:spacing w:line="258" w:lineRule="exact"/>
              <w:ind w:left="1667" w:right="1542"/>
              <w:rPr>
                <w:sz w:val="24"/>
              </w:rPr>
            </w:pPr>
            <w:r>
              <w:rPr>
                <w:sz w:val="24"/>
              </w:rPr>
              <w:t>85.1%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87.9%</w:t>
            </w:r>
          </w:p>
        </w:tc>
        <w:tc>
          <w:tcPr>
            <w:tcW w:w="5449" w:type="dxa"/>
          </w:tcPr>
          <w:p w14:paraId="1C0B359D" w14:textId="77777777" w:rsidR="001F52B4" w:rsidRDefault="00B17EDB">
            <w:pPr>
              <w:pStyle w:val="TableParagraph"/>
              <w:spacing w:line="258" w:lineRule="exact"/>
              <w:ind w:left="1600" w:right="1593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5%</w:t>
            </w:r>
          </w:p>
        </w:tc>
      </w:tr>
      <w:tr w:rsidR="001F52B4" w14:paraId="1C0B35A1" w14:textId="77777777" w:rsidTr="005F10BE">
        <w:trPr>
          <w:trHeight w:val="275"/>
        </w:trPr>
        <w:tc>
          <w:tcPr>
            <w:tcW w:w="4789" w:type="dxa"/>
          </w:tcPr>
          <w:p w14:paraId="1C0B359F" w14:textId="77777777" w:rsidR="001F52B4" w:rsidRDefault="00B17EDB">
            <w:pPr>
              <w:pStyle w:val="TableParagraph"/>
              <w:ind w:left="1599" w:right="1593"/>
              <w:rPr>
                <w:sz w:val="24"/>
              </w:rPr>
            </w:pPr>
            <w:r>
              <w:rPr>
                <w:sz w:val="24"/>
              </w:rPr>
              <w:t>85%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spacing w:val="-4"/>
                <w:sz w:val="24"/>
              </w:rPr>
              <w:t>less</w:t>
            </w:r>
          </w:p>
        </w:tc>
        <w:tc>
          <w:tcPr>
            <w:tcW w:w="5449" w:type="dxa"/>
          </w:tcPr>
          <w:p w14:paraId="1C0B35A0" w14:textId="77777777" w:rsidR="001F52B4" w:rsidRDefault="00B17EDB">
            <w:pPr>
              <w:pStyle w:val="TableParagraph"/>
              <w:ind w:left="1600" w:right="1593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10%</w:t>
            </w:r>
          </w:p>
        </w:tc>
      </w:tr>
    </w:tbl>
    <w:p w14:paraId="1C0B35A2" w14:textId="77777777" w:rsidR="001F52B4" w:rsidRDefault="001F52B4">
      <w:pPr>
        <w:pStyle w:val="BodyText"/>
        <w:spacing w:before="9"/>
        <w:rPr>
          <w:sz w:val="23"/>
        </w:rPr>
      </w:pPr>
    </w:p>
    <w:tbl>
      <w:tblPr>
        <w:tblW w:w="1106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6"/>
        <w:gridCol w:w="5449"/>
      </w:tblGrid>
      <w:tr w:rsidR="003368FD" w14:paraId="0B70C8C9" w14:textId="77777777" w:rsidTr="003368FD">
        <w:trPr>
          <w:trHeight w:val="275"/>
        </w:trPr>
        <w:tc>
          <w:tcPr>
            <w:tcW w:w="11065" w:type="dxa"/>
            <w:gridSpan w:val="2"/>
          </w:tcPr>
          <w:p w14:paraId="5BFCC725" w14:textId="77777777" w:rsidR="003368FD" w:rsidRDefault="003368FD" w:rsidP="00504EC6">
            <w:pPr>
              <w:pStyle w:val="TableParagraph"/>
              <w:ind w:left="5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 (Completion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Transition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completion)</w:t>
            </w:r>
          </w:p>
        </w:tc>
      </w:tr>
      <w:tr w:rsidR="003368FD" w14:paraId="7AEB5F4F" w14:textId="77777777" w:rsidTr="003368FD">
        <w:trPr>
          <w:trHeight w:val="275"/>
        </w:trPr>
        <w:tc>
          <w:tcPr>
            <w:tcW w:w="5616" w:type="dxa"/>
          </w:tcPr>
          <w:p w14:paraId="00D3818B" w14:textId="2A4571E1" w:rsidR="003368FD" w:rsidRDefault="003368FD" w:rsidP="00504EC6">
            <w:pPr>
              <w:pStyle w:val="TableParagraph"/>
              <w:ind w:left="1600" w:right="1593"/>
              <w:rPr>
                <w:b/>
                <w:sz w:val="24"/>
              </w:rPr>
            </w:pPr>
            <w:r>
              <w:rPr>
                <w:b/>
                <w:sz w:val="24"/>
              </w:rPr>
              <w:t>CDFR NRP Items</w:t>
            </w:r>
          </w:p>
        </w:tc>
        <w:tc>
          <w:tcPr>
            <w:tcW w:w="5449" w:type="dxa"/>
          </w:tcPr>
          <w:p w14:paraId="4D1D5FA7" w14:textId="77777777" w:rsidR="003368FD" w:rsidRDefault="003368FD" w:rsidP="00504EC6">
            <w:pPr>
              <w:pStyle w:val="TableParagraph"/>
              <w:ind w:left="1600" w:right="15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Incentive/Disincentive</w:t>
            </w:r>
          </w:p>
        </w:tc>
      </w:tr>
      <w:tr w:rsidR="003368FD" w14:paraId="6E105AED" w14:textId="77777777" w:rsidTr="003368FD">
        <w:trPr>
          <w:trHeight w:val="274"/>
        </w:trPr>
        <w:tc>
          <w:tcPr>
            <w:tcW w:w="5616" w:type="dxa"/>
          </w:tcPr>
          <w:p w14:paraId="32B4569B" w14:textId="42F31DE2" w:rsidR="003368FD" w:rsidRDefault="003368FD" w:rsidP="00504EC6">
            <w:pPr>
              <w:pStyle w:val="TableParagraph"/>
              <w:ind w:left="1598" w:right="1593"/>
              <w:rPr>
                <w:sz w:val="24"/>
              </w:rPr>
            </w:pPr>
            <w:r>
              <w:rPr>
                <w:sz w:val="24"/>
              </w:rPr>
              <w:t>95% or greater</w:t>
            </w:r>
          </w:p>
        </w:tc>
        <w:tc>
          <w:tcPr>
            <w:tcW w:w="5449" w:type="dxa"/>
          </w:tcPr>
          <w:p w14:paraId="4B6B4A5B" w14:textId="4B842193" w:rsidR="003368FD" w:rsidRDefault="003368FD" w:rsidP="00504EC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368FD" w14:paraId="176B0B38" w14:textId="77777777" w:rsidTr="003368FD">
        <w:trPr>
          <w:trHeight w:val="274"/>
        </w:trPr>
        <w:tc>
          <w:tcPr>
            <w:tcW w:w="5616" w:type="dxa"/>
          </w:tcPr>
          <w:p w14:paraId="047D1616" w14:textId="35D64C87" w:rsidR="003368FD" w:rsidRDefault="003368FD" w:rsidP="00504EC6">
            <w:pPr>
              <w:pStyle w:val="TableParagraph"/>
              <w:ind w:left="1598" w:right="1593"/>
              <w:rPr>
                <w:sz w:val="24"/>
              </w:rPr>
            </w:pPr>
            <w:r>
              <w:rPr>
                <w:sz w:val="24"/>
              </w:rPr>
              <w:t>93% - 94.9%</w:t>
            </w:r>
          </w:p>
        </w:tc>
        <w:tc>
          <w:tcPr>
            <w:tcW w:w="5449" w:type="dxa"/>
          </w:tcPr>
          <w:p w14:paraId="4DC4F154" w14:textId="26F5D797" w:rsidR="003368FD" w:rsidRDefault="003368FD" w:rsidP="00504EC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3%</w:t>
            </w:r>
          </w:p>
        </w:tc>
      </w:tr>
      <w:tr w:rsidR="003368FD" w14:paraId="595A3BE4" w14:textId="77777777" w:rsidTr="003368FD">
        <w:trPr>
          <w:trHeight w:val="274"/>
        </w:trPr>
        <w:tc>
          <w:tcPr>
            <w:tcW w:w="5616" w:type="dxa"/>
          </w:tcPr>
          <w:p w14:paraId="009A25CF" w14:textId="58745C72" w:rsidR="003368FD" w:rsidRDefault="003368FD" w:rsidP="00504EC6">
            <w:pPr>
              <w:pStyle w:val="TableParagraph"/>
              <w:ind w:left="1598" w:right="1593"/>
              <w:rPr>
                <w:sz w:val="24"/>
              </w:rPr>
            </w:pPr>
            <w:r>
              <w:rPr>
                <w:sz w:val="24"/>
              </w:rPr>
              <w:t>90.1% - 92.9%</w:t>
            </w:r>
          </w:p>
        </w:tc>
        <w:tc>
          <w:tcPr>
            <w:tcW w:w="5449" w:type="dxa"/>
          </w:tcPr>
          <w:p w14:paraId="34A92E19" w14:textId="30E385B2" w:rsidR="003368FD" w:rsidRDefault="003368FD" w:rsidP="00504EC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5%</w:t>
            </w:r>
          </w:p>
        </w:tc>
      </w:tr>
      <w:tr w:rsidR="003368FD" w14:paraId="189CA124" w14:textId="77777777" w:rsidTr="003368FD">
        <w:trPr>
          <w:trHeight w:val="274"/>
        </w:trPr>
        <w:tc>
          <w:tcPr>
            <w:tcW w:w="5616" w:type="dxa"/>
          </w:tcPr>
          <w:p w14:paraId="75B871C1" w14:textId="24A7CEE8" w:rsidR="003368FD" w:rsidRDefault="003368FD" w:rsidP="00504EC6">
            <w:pPr>
              <w:pStyle w:val="TableParagraph"/>
              <w:ind w:left="1598" w:right="1593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 less</w:t>
            </w:r>
          </w:p>
        </w:tc>
        <w:tc>
          <w:tcPr>
            <w:tcW w:w="5449" w:type="dxa"/>
          </w:tcPr>
          <w:p w14:paraId="3FF0EC0E" w14:textId="7EA29132" w:rsidR="003368FD" w:rsidRDefault="003368FD" w:rsidP="00504EC6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10%</w:t>
            </w:r>
          </w:p>
        </w:tc>
      </w:tr>
    </w:tbl>
    <w:p w14:paraId="0476C8AA" w14:textId="77777777" w:rsidR="003368FD" w:rsidRDefault="003368FD">
      <w:pPr>
        <w:pStyle w:val="BodyText"/>
        <w:spacing w:before="9"/>
        <w:rPr>
          <w:sz w:val="23"/>
        </w:rPr>
      </w:pPr>
    </w:p>
    <w:p w14:paraId="1C0B35A3" w14:textId="3730C37B" w:rsidR="001F52B4" w:rsidRDefault="00B17EDB">
      <w:pPr>
        <w:pStyle w:val="BodyText"/>
        <w:ind w:left="220" w:right="157"/>
      </w:pPr>
      <w:r w:rsidRPr="00273730">
        <w:t>The</w:t>
      </w:r>
      <w:r w:rsidRPr="00273730">
        <w:rPr>
          <w:spacing w:val="-4"/>
        </w:rPr>
        <w:t xml:space="preserve"> </w:t>
      </w:r>
      <w:r w:rsidRPr="00273730">
        <w:t>disincentive</w:t>
      </w:r>
      <w:r w:rsidRPr="00273730">
        <w:rPr>
          <w:spacing w:val="-4"/>
        </w:rPr>
        <w:t xml:space="preserve"> </w:t>
      </w:r>
      <w:r w:rsidRPr="00273730">
        <w:t>will</w:t>
      </w:r>
      <w:r w:rsidRPr="00273730">
        <w:rPr>
          <w:spacing w:val="-3"/>
        </w:rPr>
        <w:t xml:space="preserve"> </w:t>
      </w:r>
      <w:r w:rsidRPr="00273730">
        <w:t>be</w:t>
      </w:r>
      <w:r w:rsidRPr="00273730">
        <w:rPr>
          <w:spacing w:val="-1"/>
        </w:rPr>
        <w:t xml:space="preserve"> </w:t>
      </w:r>
      <w:r w:rsidRPr="00273730">
        <w:t>calculated</w:t>
      </w:r>
      <w:r w:rsidRPr="00273730">
        <w:rPr>
          <w:spacing w:val="-3"/>
        </w:rPr>
        <w:t xml:space="preserve"> </w:t>
      </w:r>
      <w:r w:rsidRPr="00273730">
        <w:t>based</w:t>
      </w:r>
      <w:r w:rsidRPr="00273730">
        <w:rPr>
          <w:spacing w:val="-3"/>
        </w:rPr>
        <w:t xml:space="preserve"> </w:t>
      </w:r>
      <w:r w:rsidRPr="00273730">
        <w:t>on</w:t>
      </w:r>
      <w:r w:rsidRPr="00273730">
        <w:rPr>
          <w:spacing w:val="-3"/>
        </w:rPr>
        <w:t xml:space="preserve"> </w:t>
      </w:r>
      <w:r w:rsidRPr="00273730">
        <w:t>the</w:t>
      </w:r>
      <w:r w:rsidRPr="00273730">
        <w:rPr>
          <w:spacing w:val="-3"/>
        </w:rPr>
        <w:t xml:space="preserve"> </w:t>
      </w:r>
      <w:r w:rsidRPr="00273730">
        <w:t>total</w:t>
      </w:r>
      <w:r w:rsidRPr="00273730">
        <w:rPr>
          <w:spacing w:val="-2"/>
        </w:rPr>
        <w:t xml:space="preserve"> </w:t>
      </w:r>
      <w:r w:rsidRPr="00273730">
        <w:t>value</w:t>
      </w:r>
      <w:r w:rsidRPr="00273730">
        <w:rPr>
          <w:spacing w:val="-3"/>
        </w:rPr>
        <w:t xml:space="preserve"> </w:t>
      </w:r>
      <w:r w:rsidRPr="00273730">
        <w:t>of</w:t>
      </w:r>
      <w:r w:rsidRPr="00273730">
        <w:rPr>
          <w:spacing w:val="-4"/>
        </w:rPr>
        <w:t xml:space="preserve"> </w:t>
      </w:r>
      <w:r w:rsidRPr="00273730">
        <w:t>all</w:t>
      </w:r>
      <w:r w:rsidRPr="00273730">
        <w:rPr>
          <w:spacing w:val="-2"/>
        </w:rPr>
        <w:t xml:space="preserve"> </w:t>
      </w:r>
      <w:r w:rsidRPr="00273730">
        <w:t>delivery</w:t>
      </w:r>
      <w:r w:rsidRPr="00273730">
        <w:rPr>
          <w:spacing w:val="-5"/>
        </w:rPr>
        <w:t xml:space="preserve"> </w:t>
      </w:r>
      <w:r w:rsidRPr="00273730">
        <w:t>order(s)</w:t>
      </w:r>
      <w:r w:rsidRPr="00273730">
        <w:rPr>
          <w:spacing w:val="-3"/>
        </w:rPr>
        <w:t xml:space="preserve"> </w:t>
      </w:r>
      <w:r w:rsidRPr="00273730">
        <w:t>not</w:t>
      </w:r>
      <w:r w:rsidRPr="00273730">
        <w:rPr>
          <w:spacing w:val="-3"/>
        </w:rPr>
        <w:t xml:space="preserve"> </w:t>
      </w:r>
      <w:r w:rsidRPr="00273730">
        <w:t>shipped</w:t>
      </w:r>
      <w:r w:rsidRPr="00273730">
        <w:rPr>
          <w:spacing w:val="-2"/>
        </w:rPr>
        <w:t xml:space="preserve"> </w:t>
      </w:r>
      <w:r w:rsidRPr="00273730">
        <w:t xml:space="preserve">complete in accordance with the defined fill rate standards for each defined </w:t>
      </w:r>
      <w:r w:rsidR="00063E61" w:rsidRPr="00273730">
        <w:t>12-month</w:t>
      </w:r>
      <w:r w:rsidRPr="00273730">
        <w:t xml:space="preserve"> performance period.</w:t>
      </w:r>
      <w:r w:rsidRPr="00273730">
        <w:rPr>
          <w:spacing w:val="40"/>
        </w:rPr>
        <w:t xml:space="preserve"> </w:t>
      </w:r>
      <w:r w:rsidRPr="00273730">
        <w:t xml:space="preserve">The </w:t>
      </w:r>
      <w:r w:rsidR="00EE2120" w:rsidRPr="00273730">
        <w:t>incentive/</w:t>
      </w:r>
      <w:r w:rsidRPr="00273730">
        <w:t xml:space="preserve">disincentive amount will be </w:t>
      </w:r>
      <w:r w:rsidR="00EE2120" w:rsidRPr="00273730">
        <w:t>added/</w:t>
      </w:r>
      <w:r w:rsidRPr="00273730">
        <w:t xml:space="preserve">deducted in a lump sum </w:t>
      </w:r>
      <w:r w:rsidR="00E72FF3" w:rsidRPr="00273730">
        <w:t>to/</w:t>
      </w:r>
      <w:r w:rsidRPr="00273730">
        <w:t xml:space="preserve">from the management </w:t>
      </w:r>
      <w:r w:rsidR="00E72FF3" w:rsidRPr="00273730">
        <w:t xml:space="preserve">charge </w:t>
      </w:r>
      <w:r w:rsidRPr="00273730">
        <w:t xml:space="preserve">paid in the period(s) immediately following the </w:t>
      </w:r>
      <w:r w:rsidR="00063E61" w:rsidRPr="00273730">
        <w:t>12-month</w:t>
      </w:r>
      <w:r w:rsidRPr="00273730">
        <w:t xml:space="preserve"> performance period.</w:t>
      </w:r>
    </w:p>
    <w:p w14:paraId="1C0B35A4" w14:textId="77777777" w:rsidR="001F52B4" w:rsidRDefault="001F52B4">
      <w:pPr>
        <w:pStyle w:val="BodyText"/>
      </w:pPr>
    </w:p>
    <w:p w14:paraId="1C0B35A5" w14:textId="57CF80F6" w:rsidR="001F52B4" w:rsidRDefault="00B17EDB">
      <w:pPr>
        <w:pStyle w:val="BodyText"/>
        <w:spacing w:before="1"/>
        <w:ind w:left="220" w:right="245"/>
      </w:pPr>
      <w:r>
        <w:t xml:space="preserve">NSNs added after contract award will be granted a full Production Lead Time (PLT) based on </w:t>
      </w:r>
      <w:r>
        <w:lastRenderedPageBreak/>
        <w:t>Government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prior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CDFR</w:t>
      </w:r>
      <w:r>
        <w:rPr>
          <w:spacing w:val="-3"/>
        </w:rPr>
        <w:t xml:space="preserve"> </w:t>
      </w:r>
      <w:r>
        <w:t>metric.</w:t>
      </w:r>
      <w:r>
        <w:rPr>
          <w:spacing w:val="40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orders</w:t>
      </w:r>
      <w:r>
        <w:rPr>
          <w:spacing w:val="-3"/>
        </w:rPr>
        <w:t xml:space="preserve"> </w:t>
      </w:r>
      <w:r>
        <w:t>received within the initial PLT will not be subject to the metric.</w:t>
      </w:r>
    </w:p>
    <w:p w14:paraId="1C0B35A6" w14:textId="77777777" w:rsidR="001F52B4" w:rsidRDefault="001F52B4">
      <w:pPr>
        <w:pStyle w:val="BodyText"/>
      </w:pPr>
    </w:p>
    <w:p w14:paraId="1C0B35A7" w14:textId="77777777" w:rsidR="001F52B4" w:rsidRDefault="00B17EDB">
      <w:pPr>
        <w:pStyle w:val="BodyText"/>
        <w:ind w:left="220" w:right="157"/>
      </w:pPr>
      <w:r>
        <w:t>The Contracting Officer will provide a monthly metric report to the contractor within fourteen (14) calendar days from the end of the preceding month.</w:t>
      </w:r>
      <w:r>
        <w:rPr>
          <w:spacing w:val="40"/>
        </w:rPr>
        <w:t xml:space="preserve"> </w:t>
      </w:r>
      <w:r>
        <w:t>The Contractor will have fourteen (14) calendar days to challenge individual delivery orders or the calculations for the metrics in writing to the Contracting Officer.</w:t>
      </w:r>
      <w:r>
        <w:rPr>
          <w:spacing w:val="40"/>
        </w:rPr>
        <w:t xml:space="preserve"> </w:t>
      </w:r>
      <w:r>
        <w:t>The challenge shall include the rationale and any supporting evidence.</w:t>
      </w:r>
      <w:r>
        <w:rPr>
          <w:spacing w:val="40"/>
        </w:rPr>
        <w:t xml:space="preserve"> </w:t>
      </w:r>
      <w:r>
        <w:t>The Contracting</w:t>
      </w:r>
      <w:r>
        <w:rPr>
          <w:spacing w:val="-6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approve/disapprove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challenge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 xml:space="preserve">receipt. If the contractor does not submit a timely challenge, then no adjustment will be made to the monthly </w:t>
      </w:r>
      <w:r>
        <w:rPr>
          <w:spacing w:val="-2"/>
        </w:rPr>
        <w:t>metric.</w:t>
      </w:r>
    </w:p>
    <w:p w14:paraId="1C0B35A8" w14:textId="77777777" w:rsidR="001F52B4" w:rsidRDefault="001F52B4">
      <w:pPr>
        <w:pStyle w:val="BodyText"/>
        <w:spacing w:before="5"/>
      </w:pPr>
    </w:p>
    <w:p w14:paraId="1C0B35A9" w14:textId="77777777" w:rsidR="001F52B4" w:rsidRDefault="00B17EDB">
      <w:pPr>
        <w:pStyle w:val="Heading1"/>
      </w:pPr>
      <w:r>
        <w:t>H-902</w:t>
      </w:r>
      <w:r>
        <w:rPr>
          <w:spacing w:val="59"/>
        </w:rPr>
        <w:t xml:space="preserve"> </w:t>
      </w:r>
      <w:r>
        <w:rPr>
          <w:spacing w:val="-2"/>
        </w:rPr>
        <w:t>BACKORDER</w:t>
      </w:r>
    </w:p>
    <w:p w14:paraId="1C0B35AA" w14:textId="77777777" w:rsidR="001F52B4" w:rsidRDefault="00B17EDB">
      <w:pPr>
        <w:pStyle w:val="BodyText"/>
        <w:ind w:left="220" w:right="579"/>
        <w:jc w:val="both"/>
      </w:pPr>
      <w:r>
        <w:t>The</w:t>
      </w:r>
      <w:r>
        <w:rPr>
          <w:spacing w:val="-2"/>
        </w:rPr>
        <w:t xml:space="preserve"> </w:t>
      </w:r>
      <w:r>
        <w:t>total number of Backorders for a</w:t>
      </w:r>
      <w:r>
        <w:rPr>
          <w:spacing w:val="-2"/>
        </w:rPr>
        <w:t xml:space="preserve"> </w:t>
      </w:r>
      <w:r>
        <w:t>period will be categorized by</w:t>
      </w:r>
      <w:r>
        <w:rPr>
          <w:spacing w:val="-5"/>
        </w:rPr>
        <w:t xml:space="preserve"> </w:t>
      </w:r>
      <w:r>
        <w:t>the number</w:t>
      </w:r>
      <w:r>
        <w:rPr>
          <w:spacing w:val="-2"/>
        </w:rPr>
        <w:t xml:space="preserve"> </w:t>
      </w:r>
      <w:r>
        <w:t>of calendar days the orders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late.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disincentive</w:t>
      </w:r>
      <w:r>
        <w:rPr>
          <w:spacing w:val="-4"/>
        </w:rPr>
        <w:t xml:space="preserve"> </w:t>
      </w:r>
      <w:r>
        <w:t>increases</w:t>
      </w:r>
      <w:r>
        <w:rPr>
          <w:spacing w:val="-3"/>
        </w:rPr>
        <w:t xml:space="preserve"> </w:t>
      </w:r>
      <w:r>
        <w:t>proportionate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backorders</w:t>
      </w:r>
      <w:r>
        <w:rPr>
          <w:spacing w:val="-3"/>
        </w:rPr>
        <w:t xml:space="preserve"> </w:t>
      </w:r>
      <w:r>
        <w:t>as shown in the following chart:</w:t>
      </w:r>
    </w:p>
    <w:p w14:paraId="1F0C0791" w14:textId="77777777" w:rsidR="00A95286" w:rsidRDefault="00A95286">
      <w:pPr>
        <w:pStyle w:val="BodyText"/>
        <w:ind w:left="220" w:right="579"/>
        <w:jc w:val="both"/>
      </w:pPr>
    </w:p>
    <w:tbl>
      <w:tblPr>
        <w:tblW w:w="0" w:type="auto"/>
        <w:tblInd w:w="1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2160"/>
        <w:gridCol w:w="1620"/>
      </w:tblGrid>
      <w:tr w:rsidR="001F52B4" w14:paraId="1C0B35B2" w14:textId="77777777">
        <w:trPr>
          <w:trHeight w:val="551"/>
        </w:trPr>
        <w:tc>
          <w:tcPr>
            <w:tcW w:w="1801" w:type="dxa"/>
          </w:tcPr>
          <w:p w14:paraId="1C0B35AC" w14:textId="77777777" w:rsidR="001F52B4" w:rsidRDefault="00B17EDB">
            <w:pPr>
              <w:pStyle w:val="TableParagraph"/>
              <w:spacing w:line="270" w:lineRule="exact"/>
              <w:ind w:left="4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Backorder</w:t>
            </w:r>
          </w:p>
          <w:p w14:paraId="1C0B35AD" w14:textId="77777777" w:rsidR="001F52B4" w:rsidRDefault="00B17EDB">
            <w:pPr>
              <w:pStyle w:val="TableParagraph"/>
              <w:spacing w:line="261" w:lineRule="exact"/>
              <w:ind w:left="4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Category</w:t>
            </w:r>
          </w:p>
        </w:tc>
        <w:tc>
          <w:tcPr>
            <w:tcW w:w="2160" w:type="dxa"/>
          </w:tcPr>
          <w:p w14:paraId="1C0B35AE" w14:textId="77777777" w:rsidR="001F52B4" w:rsidRDefault="00B17EDB">
            <w:pPr>
              <w:pStyle w:val="TableParagraph"/>
              <w:spacing w:line="270" w:lineRule="exact"/>
              <w:ind w:left="115" w:right="10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1C0B35AF" w14:textId="77777777" w:rsidR="001F52B4" w:rsidRDefault="00B17EDB">
            <w:pPr>
              <w:pStyle w:val="TableParagraph"/>
              <w:spacing w:line="261" w:lineRule="exact"/>
              <w:ind w:left="115" w:right="110"/>
              <w:rPr>
                <w:sz w:val="24"/>
              </w:rPr>
            </w:pPr>
            <w:r>
              <w:rPr>
                <w:sz w:val="24"/>
              </w:rPr>
              <w:t>Calendar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Days </w:t>
            </w:r>
            <w:r>
              <w:rPr>
                <w:spacing w:val="-4"/>
                <w:sz w:val="24"/>
              </w:rPr>
              <w:t>Late</w:t>
            </w:r>
          </w:p>
        </w:tc>
        <w:tc>
          <w:tcPr>
            <w:tcW w:w="1620" w:type="dxa"/>
          </w:tcPr>
          <w:p w14:paraId="1C0B35B0" w14:textId="77777777" w:rsidR="001F52B4" w:rsidRDefault="00B17EDB">
            <w:pPr>
              <w:pStyle w:val="TableParagraph"/>
              <w:spacing w:line="270" w:lineRule="exact"/>
              <w:ind w:left="2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Disincentive</w:t>
            </w:r>
          </w:p>
          <w:p w14:paraId="1C0B35B1" w14:textId="77777777" w:rsidR="001F52B4" w:rsidRDefault="00B17EDB">
            <w:pPr>
              <w:pStyle w:val="TableParagraph"/>
              <w:spacing w:line="261" w:lineRule="exact"/>
              <w:ind w:left="2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Percentage</w:t>
            </w:r>
          </w:p>
        </w:tc>
      </w:tr>
      <w:tr w:rsidR="001F52B4" w14:paraId="1C0B35B6" w14:textId="77777777">
        <w:trPr>
          <w:trHeight w:val="276"/>
        </w:trPr>
        <w:tc>
          <w:tcPr>
            <w:tcW w:w="1801" w:type="dxa"/>
          </w:tcPr>
          <w:p w14:paraId="1C0B35B3" w14:textId="77777777" w:rsidR="001F52B4" w:rsidRDefault="00B17ED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160" w:type="dxa"/>
          </w:tcPr>
          <w:p w14:paraId="1C0B35B4" w14:textId="77777777" w:rsidR="001F52B4" w:rsidRDefault="00B17EDB">
            <w:pPr>
              <w:pStyle w:val="TableParagraph"/>
              <w:ind w:right="8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620" w:type="dxa"/>
          </w:tcPr>
          <w:p w14:paraId="1C0B35B5" w14:textId="77777777" w:rsidR="001F52B4" w:rsidRDefault="00B17EDB">
            <w:pPr>
              <w:pStyle w:val="TableParagraph"/>
              <w:ind w:left="537" w:right="527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</w:tr>
      <w:tr w:rsidR="001F52B4" w14:paraId="1C0B35BA" w14:textId="77777777">
        <w:trPr>
          <w:trHeight w:val="275"/>
        </w:trPr>
        <w:tc>
          <w:tcPr>
            <w:tcW w:w="1801" w:type="dxa"/>
          </w:tcPr>
          <w:p w14:paraId="1C0B35B7" w14:textId="77777777" w:rsidR="001F52B4" w:rsidRDefault="00B17EDB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160" w:type="dxa"/>
          </w:tcPr>
          <w:p w14:paraId="1C0B35B8" w14:textId="77777777" w:rsidR="001F52B4" w:rsidRDefault="00B17ED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15-</w:t>
            </w:r>
            <w:r>
              <w:rPr>
                <w:spacing w:val="-7"/>
                <w:sz w:val="24"/>
              </w:rPr>
              <w:t>20</w:t>
            </w:r>
          </w:p>
        </w:tc>
        <w:tc>
          <w:tcPr>
            <w:tcW w:w="1620" w:type="dxa"/>
          </w:tcPr>
          <w:p w14:paraId="1C0B35B9" w14:textId="77777777" w:rsidR="001F52B4" w:rsidRDefault="00B17EDB">
            <w:pPr>
              <w:pStyle w:val="TableParagraph"/>
              <w:ind w:left="537" w:right="53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3%</w:t>
            </w:r>
          </w:p>
        </w:tc>
      </w:tr>
      <w:tr w:rsidR="001F52B4" w14:paraId="1C0B35BE" w14:textId="77777777">
        <w:trPr>
          <w:trHeight w:val="277"/>
        </w:trPr>
        <w:tc>
          <w:tcPr>
            <w:tcW w:w="1801" w:type="dxa"/>
          </w:tcPr>
          <w:p w14:paraId="1C0B35BB" w14:textId="77777777" w:rsidR="001F52B4" w:rsidRDefault="00B17EDB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160" w:type="dxa"/>
          </w:tcPr>
          <w:p w14:paraId="1C0B35BC" w14:textId="77777777" w:rsidR="001F52B4" w:rsidRDefault="00B17EDB">
            <w:pPr>
              <w:pStyle w:val="TableParagraph"/>
              <w:spacing w:line="258" w:lineRule="exact"/>
              <w:ind w:right="7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50</w:t>
            </w:r>
          </w:p>
        </w:tc>
        <w:tc>
          <w:tcPr>
            <w:tcW w:w="1620" w:type="dxa"/>
          </w:tcPr>
          <w:p w14:paraId="1C0B35BD" w14:textId="77777777" w:rsidR="001F52B4" w:rsidRDefault="00B17EDB">
            <w:pPr>
              <w:pStyle w:val="TableParagraph"/>
              <w:spacing w:line="258" w:lineRule="exact"/>
              <w:ind w:left="537" w:right="53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8%</w:t>
            </w:r>
          </w:p>
        </w:tc>
      </w:tr>
      <w:tr w:rsidR="001F52B4" w14:paraId="1C0B35C2" w14:textId="77777777">
        <w:trPr>
          <w:trHeight w:val="275"/>
        </w:trPr>
        <w:tc>
          <w:tcPr>
            <w:tcW w:w="1801" w:type="dxa"/>
          </w:tcPr>
          <w:p w14:paraId="1C0B35BF" w14:textId="77777777" w:rsidR="001F52B4" w:rsidRDefault="00B17ED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160" w:type="dxa"/>
          </w:tcPr>
          <w:p w14:paraId="1C0B35C0" w14:textId="77777777" w:rsidR="001F52B4" w:rsidRDefault="00B17EDB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51-</w:t>
            </w:r>
            <w:r>
              <w:rPr>
                <w:spacing w:val="-7"/>
                <w:sz w:val="24"/>
              </w:rPr>
              <w:t>80</w:t>
            </w:r>
          </w:p>
        </w:tc>
        <w:tc>
          <w:tcPr>
            <w:tcW w:w="1620" w:type="dxa"/>
          </w:tcPr>
          <w:p w14:paraId="1C0B35C1" w14:textId="77777777" w:rsidR="001F52B4" w:rsidRDefault="00B17EDB">
            <w:pPr>
              <w:pStyle w:val="TableParagraph"/>
              <w:ind w:left="537" w:right="53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15%</w:t>
            </w:r>
          </w:p>
        </w:tc>
      </w:tr>
      <w:tr w:rsidR="001F52B4" w14:paraId="1C0B35C6" w14:textId="77777777">
        <w:trPr>
          <w:trHeight w:val="275"/>
        </w:trPr>
        <w:tc>
          <w:tcPr>
            <w:tcW w:w="1801" w:type="dxa"/>
          </w:tcPr>
          <w:p w14:paraId="1C0B35C3" w14:textId="77777777" w:rsidR="001F52B4" w:rsidRDefault="00B17EDB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60" w:type="dxa"/>
          </w:tcPr>
          <w:p w14:paraId="1C0B35C4" w14:textId="77777777" w:rsidR="001F52B4" w:rsidRDefault="00B17EDB">
            <w:pPr>
              <w:pStyle w:val="TableParagraph"/>
              <w:ind w:right="88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&gt;81</w:t>
            </w:r>
          </w:p>
        </w:tc>
        <w:tc>
          <w:tcPr>
            <w:tcW w:w="1620" w:type="dxa"/>
          </w:tcPr>
          <w:p w14:paraId="1C0B35C5" w14:textId="77777777" w:rsidR="001F52B4" w:rsidRDefault="00B17EDB">
            <w:pPr>
              <w:pStyle w:val="TableParagraph"/>
              <w:ind w:left="537" w:right="530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25%</w:t>
            </w:r>
          </w:p>
        </w:tc>
      </w:tr>
    </w:tbl>
    <w:p w14:paraId="1C0B35C7" w14:textId="77777777" w:rsidR="001F52B4" w:rsidRDefault="001F52B4">
      <w:pPr>
        <w:pStyle w:val="BodyText"/>
        <w:spacing w:before="8"/>
        <w:rPr>
          <w:sz w:val="17"/>
        </w:rPr>
      </w:pPr>
    </w:p>
    <w:p w14:paraId="1C0B35C8" w14:textId="45D0D15E" w:rsidR="001F52B4" w:rsidRDefault="00B17EDB">
      <w:pPr>
        <w:pStyle w:val="BodyText"/>
        <w:spacing w:before="90"/>
        <w:ind w:left="220"/>
      </w:pPr>
      <w:r>
        <w:t>The</w:t>
      </w:r>
      <w:r>
        <w:rPr>
          <w:spacing w:val="-5"/>
        </w:rPr>
        <w:t xml:space="preserve"> </w:t>
      </w:r>
      <w:r>
        <w:t>calculation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backorder disincentive</w:t>
      </w:r>
      <w:r>
        <w:rPr>
          <w:spacing w:val="-1"/>
        </w:rPr>
        <w:t xml:space="preserve"> </w:t>
      </w:r>
      <w:r w:rsidR="00E72FF3">
        <w:rPr>
          <w:spacing w:val="-1"/>
        </w:rPr>
        <w:t>charge</w:t>
      </w:r>
      <w:r>
        <w:rPr>
          <w:spacing w:val="-2"/>
        </w:rPr>
        <w:t xml:space="preserve"> </w:t>
      </w:r>
      <w:r>
        <w:t xml:space="preserve">is as </w:t>
      </w:r>
      <w:r>
        <w:rPr>
          <w:spacing w:val="-2"/>
        </w:rPr>
        <w:t>follows:</w:t>
      </w:r>
    </w:p>
    <w:p w14:paraId="1C0B35C9" w14:textId="77777777" w:rsidR="001F52B4" w:rsidRDefault="001F52B4">
      <w:pPr>
        <w:pStyle w:val="BodyText"/>
        <w:spacing w:before="11"/>
        <w:rPr>
          <w:sz w:val="23"/>
        </w:rPr>
      </w:pPr>
    </w:p>
    <w:p w14:paraId="1C0B35CA" w14:textId="792935E8" w:rsidR="001F52B4" w:rsidRDefault="00B17EDB">
      <w:pPr>
        <w:pStyle w:val="BodyText"/>
        <w:ind w:left="3100"/>
      </w:pPr>
      <w:r>
        <w:t>Backorder</w:t>
      </w:r>
      <w:r>
        <w:rPr>
          <w:spacing w:val="-2"/>
        </w:rPr>
        <w:t xml:space="preserve"> </w:t>
      </w:r>
      <w:r>
        <w:t>Disincentive</w:t>
      </w:r>
      <w:r>
        <w:rPr>
          <w:spacing w:val="-2"/>
        </w:rPr>
        <w:t xml:space="preserve"> </w:t>
      </w:r>
      <w:r w:rsidR="00E72FF3">
        <w:rPr>
          <w:spacing w:val="-2"/>
        </w:rPr>
        <w:t>Charge</w:t>
      </w:r>
      <w:r>
        <w:rPr>
          <w:spacing w:val="-2"/>
        </w:rPr>
        <w:t xml:space="preserve"> </w:t>
      </w:r>
      <w:r>
        <w:rPr>
          <w:spacing w:val="-10"/>
        </w:rPr>
        <w:t>=</w:t>
      </w:r>
    </w:p>
    <w:p w14:paraId="1C0B35CB" w14:textId="77777777" w:rsidR="001F52B4" w:rsidRDefault="001F52B4">
      <w:pPr>
        <w:pStyle w:val="BodyText"/>
      </w:pPr>
    </w:p>
    <w:p w14:paraId="1C0B35CC" w14:textId="77777777" w:rsidR="001F52B4" w:rsidRDefault="00B17EDB">
      <w:pPr>
        <w:pStyle w:val="BodyText"/>
        <w:ind w:left="1898" w:right="1783"/>
        <w:jc w:val="center"/>
      </w:pPr>
      <w:r>
        <w:t>[(Value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Backorders)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Disincentive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Category</w:t>
      </w:r>
      <w:r>
        <w:rPr>
          <w:spacing w:val="-5"/>
        </w:rPr>
        <w:t xml:space="preserve"> A]</w:t>
      </w:r>
    </w:p>
    <w:p w14:paraId="1C0B35CD" w14:textId="77777777" w:rsidR="001F52B4" w:rsidRDefault="00B17EDB">
      <w:pPr>
        <w:ind w:left="122"/>
        <w:jc w:val="center"/>
        <w:rPr>
          <w:sz w:val="24"/>
        </w:rPr>
      </w:pPr>
      <w:r>
        <w:rPr>
          <w:sz w:val="24"/>
        </w:rPr>
        <w:t>+</w:t>
      </w:r>
    </w:p>
    <w:p w14:paraId="1C0B35CE" w14:textId="77777777" w:rsidR="001F52B4" w:rsidRDefault="00B17EDB">
      <w:pPr>
        <w:pStyle w:val="BodyText"/>
        <w:spacing w:before="1"/>
        <w:ind w:left="1895" w:right="1783"/>
        <w:jc w:val="center"/>
      </w:pPr>
      <w:r>
        <w:t>[(Value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B Backorders)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Disincentive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rPr>
          <w:spacing w:val="-5"/>
        </w:rPr>
        <w:t>B]</w:t>
      </w:r>
    </w:p>
    <w:p w14:paraId="1C0B35CF" w14:textId="77777777" w:rsidR="001F52B4" w:rsidRDefault="00B17EDB">
      <w:pPr>
        <w:ind w:left="122"/>
        <w:jc w:val="center"/>
        <w:rPr>
          <w:sz w:val="24"/>
        </w:rPr>
      </w:pPr>
      <w:r>
        <w:rPr>
          <w:sz w:val="24"/>
        </w:rPr>
        <w:t>+</w:t>
      </w:r>
    </w:p>
    <w:p w14:paraId="1C0B35D0" w14:textId="77777777" w:rsidR="001F52B4" w:rsidRDefault="00B17EDB">
      <w:pPr>
        <w:pStyle w:val="BodyText"/>
        <w:ind w:left="1895" w:right="1783"/>
        <w:jc w:val="center"/>
      </w:pPr>
      <w:r>
        <w:t>[(Value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Category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Backorders)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Disincentive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Category</w:t>
      </w:r>
      <w:r>
        <w:rPr>
          <w:spacing w:val="-5"/>
        </w:rPr>
        <w:t xml:space="preserve"> C]</w:t>
      </w:r>
    </w:p>
    <w:p w14:paraId="1C0B35D1" w14:textId="77777777" w:rsidR="001F52B4" w:rsidRDefault="00B17EDB">
      <w:pPr>
        <w:ind w:left="122"/>
        <w:jc w:val="center"/>
        <w:rPr>
          <w:sz w:val="24"/>
        </w:rPr>
      </w:pPr>
      <w:r>
        <w:rPr>
          <w:sz w:val="24"/>
        </w:rPr>
        <w:t>+</w:t>
      </w:r>
    </w:p>
    <w:p w14:paraId="1C0B35D2" w14:textId="77777777" w:rsidR="001F52B4" w:rsidRDefault="00B17EDB">
      <w:pPr>
        <w:pStyle w:val="BodyText"/>
        <w:ind w:left="1896" w:right="1783"/>
        <w:jc w:val="center"/>
      </w:pPr>
      <w:r>
        <w:t>[(Value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Category</w:t>
      </w:r>
      <w:r>
        <w:rPr>
          <w:spacing w:val="-4"/>
        </w:rPr>
        <w:t xml:space="preserve"> </w:t>
      </w:r>
      <w:r>
        <w:t>D Backorders)</w:t>
      </w:r>
      <w:r>
        <w:rPr>
          <w:spacing w:val="-2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Disincentive</w:t>
      </w:r>
      <w:r>
        <w:rPr>
          <w:spacing w:val="-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Category</w:t>
      </w:r>
      <w:r>
        <w:rPr>
          <w:spacing w:val="-5"/>
        </w:rPr>
        <w:t xml:space="preserve"> D]</w:t>
      </w:r>
    </w:p>
    <w:p w14:paraId="1C0B35D3" w14:textId="77777777" w:rsidR="001F52B4" w:rsidRDefault="00B17EDB">
      <w:pPr>
        <w:ind w:left="122"/>
        <w:jc w:val="center"/>
        <w:rPr>
          <w:sz w:val="24"/>
        </w:rPr>
      </w:pPr>
      <w:r>
        <w:rPr>
          <w:sz w:val="24"/>
        </w:rPr>
        <w:t>+</w:t>
      </w:r>
    </w:p>
    <w:p w14:paraId="1C0B35D4" w14:textId="77777777" w:rsidR="001F52B4" w:rsidRDefault="00B17EDB">
      <w:pPr>
        <w:pStyle w:val="BodyText"/>
        <w:spacing w:after="6" w:line="480" w:lineRule="auto"/>
        <w:ind w:left="220" w:right="1413" w:firstLine="1714"/>
      </w:pPr>
      <w:r>
        <w:t>[(Value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Backorders)</w:t>
      </w:r>
      <w:r>
        <w:rPr>
          <w:spacing w:val="-5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Disincentive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Category</w:t>
      </w:r>
      <w:r>
        <w:rPr>
          <w:spacing w:val="-8"/>
        </w:rPr>
        <w:t xml:space="preserve"> </w:t>
      </w:r>
      <w:r>
        <w:t>E] Example:</w:t>
      </w:r>
      <w:r>
        <w:rPr>
          <w:spacing w:val="40"/>
        </w:rPr>
        <w:t xml:space="preserve"> </w:t>
      </w:r>
      <w:r>
        <w:t>Total Value of All Backorders: $6,000,000</w:t>
      </w: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1651"/>
        <w:gridCol w:w="2401"/>
        <w:gridCol w:w="1441"/>
        <w:gridCol w:w="1801"/>
      </w:tblGrid>
      <w:tr w:rsidR="001F52B4" w14:paraId="1C0B35DD" w14:textId="77777777" w:rsidTr="00BC3DFF">
        <w:trPr>
          <w:trHeight w:val="551"/>
        </w:trPr>
        <w:tc>
          <w:tcPr>
            <w:tcW w:w="1097" w:type="dxa"/>
          </w:tcPr>
          <w:p w14:paraId="1C0B35D5" w14:textId="77777777" w:rsidR="001F52B4" w:rsidRDefault="00B17EDB">
            <w:pPr>
              <w:pStyle w:val="TableParagraph"/>
              <w:spacing w:line="270" w:lineRule="exact"/>
              <w:ind w:left="96" w:right="76"/>
              <w:rPr>
                <w:sz w:val="24"/>
              </w:rPr>
            </w:pPr>
            <w:r>
              <w:rPr>
                <w:spacing w:val="-2"/>
                <w:sz w:val="24"/>
              </w:rPr>
              <w:t>Category</w:t>
            </w:r>
          </w:p>
        </w:tc>
        <w:tc>
          <w:tcPr>
            <w:tcW w:w="1651" w:type="dxa"/>
          </w:tcPr>
          <w:p w14:paraId="1C0B35D6" w14:textId="77777777" w:rsidR="001F52B4" w:rsidRDefault="00B17EDB">
            <w:pPr>
              <w:pStyle w:val="TableParagraph"/>
              <w:spacing w:line="270" w:lineRule="exact"/>
              <w:ind w:left="36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Calendar</w:t>
            </w:r>
          </w:p>
          <w:p w14:paraId="1C0B35D7" w14:textId="77777777" w:rsidR="001F52B4" w:rsidRDefault="00B17EDB">
            <w:pPr>
              <w:pStyle w:val="TableParagraph"/>
              <w:spacing w:line="261" w:lineRule="exact"/>
              <w:ind w:left="307"/>
              <w:jc w:val="left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Late</w:t>
            </w:r>
          </w:p>
        </w:tc>
        <w:tc>
          <w:tcPr>
            <w:tcW w:w="2401" w:type="dxa"/>
          </w:tcPr>
          <w:p w14:paraId="1C0B35D8" w14:textId="77777777" w:rsidR="001F52B4" w:rsidRDefault="00B17EDB">
            <w:pPr>
              <w:pStyle w:val="TableParagraph"/>
              <w:spacing w:line="270" w:lineRule="exact"/>
              <w:ind w:left="222" w:right="209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Backorders</w:t>
            </w:r>
          </w:p>
        </w:tc>
        <w:tc>
          <w:tcPr>
            <w:tcW w:w="1441" w:type="dxa"/>
          </w:tcPr>
          <w:p w14:paraId="1C0B35D9" w14:textId="77777777" w:rsidR="001F52B4" w:rsidRDefault="00B17EDB">
            <w:pPr>
              <w:pStyle w:val="TableParagraph"/>
              <w:spacing w:line="270" w:lineRule="exact"/>
              <w:ind w:left="104" w:right="88"/>
              <w:rPr>
                <w:sz w:val="24"/>
              </w:rPr>
            </w:pPr>
            <w:r>
              <w:rPr>
                <w:spacing w:val="-2"/>
                <w:sz w:val="24"/>
              </w:rPr>
              <w:t>Disincentive</w:t>
            </w:r>
          </w:p>
          <w:p w14:paraId="1C0B35DA" w14:textId="77777777" w:rsidR="001F52B4" w:rsidRDefault="00B17EDB">
            <w:pPr>
              <w:pStyle w:val="TableParagraph"/>
              <w:spacing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01" w:type="dxa"/>
          </w:tcPr>
          <w:p w14:paraId="1C0B35DB" w14:textId="77777777" w:rsidR="001F52B4" w:rsidRDefault="00B17EDB">
            <w:pPr>
              <w:pStyle w:val="TableParagraph"/>
              <w:spacing w:line="270" w:lineRule="exact"/>
              <w:ind w:left="29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Disincentive</w:t>
            </w:r>
          </w:p>
          <w:p w14:paraId="1C0B35DC" w14:textId="77777777" w:rsidR="001F52B4" w:rsidRDefault="00B17EDB">
            <w:pPr>
              <w:pStyle w:val="TableParagraph"/>
              <w:spacing w:line="261" w:lineRule="exact"/>
              <w:ind w:left="3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Calculation</w:t>
            </w:r>
          </w:p>
        </w:tc>
      </w:tr>
      <w:tr w:rsidR="001F52B4" w14:paraId="1C0B35E3" w14:textId="77777777" w:rsidTr="00BC3DFF">
        <w:trPr>
          <w:trHeight w:val="277"/>
        </w:trPr>
        <w:tc>
          <w:tcPr>
            <w:tcW w:w="1097" w:type="dxa"/>
          </w:tcPr>
          <w:p w14:paraId="1C0B35DE" w14:textId="77777777" w:rsidR="001F52B4" w:rsidRDefault="00B17EDB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651" w:type="dxa"/>
          </w:tcPr>
          <w:p w14:paraId="1C0B35DF" w14:textId="355B94CD" w:rsidR="001F52B4" w:rsidRDefault="00B17EDB">
            <w:pPr>
              <w:pStyle w:val="TableParagraph"/>
              <w:spacing w:line="258" w:lineRule="exact"/>
              <w:ind w:left="596" w:right="577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 w:rsidR="00BC3DFF">
              <w:rPr>
                <w:spacing w:val="-10"/>
                <w:sz w:val="24"/>
              </w:rPr>
              <w:t>14</w:t>
            </w:r>
          </w:p>
        </w:tc>
        <w:tc>
          <w:tcPr>
            <w:tcW w:w="2401" w:type="dxa"/>
          </w:tcPr>
          <w:p w14:paraId="1C0B35E0" w14:textId="77777777" w:rsidR="001F52B4" w:rsidRDefault="00B17EDB">
            <w:pPr>
              <w:pStyle w:val="TableParagraph"/>
              <w:spacing w:line="258" w:lineRule="exact"/>
              <w:ind w:left="222" w:right="202"/>
              <w:rPr>
                <w:sz w:val="24"/>
              </w:rPr>
            </w:pPr>
            <w:r>
              <w:rPr>
                <w:spacing w:val="-2"/>
                <w:sz w:val="24"/>
              </w:rPr>
              <w:t>$750,000</w:t>
            </w:r>
          </w:p>
        </w:tc>
        <w:tc>
          <w:tcPr>
            <w:tcW w:w="1441" w:type="dxa"/>
          </w:tcPr>
          <w:p w14:paraId="1C0B35E1" w14:textId="77777777" w:rsidR="001F52B4" w:rsidRDefault="00B17EDB">
            <w:pPr>
              <w:pStyle w:val="TableParagraph"/>
              <w:spacing w:line="258" w:lineRule="exact"/>
              <w:ind w:left="104" w:right="87"/>
              <w:rPr>
                <w:sz w:val="24"/>
              </w:rPr>
            </w:pPr>
            <w:r>
              <w:rPr>
                <w:spacing w:val="-5"/>
                <w:sz w:val="24"/>
              </w:rPr>
              <w:t>0%</w:t>
            </w:r>
          </w:p>
        </w:tc>
        <w:tc>
          <w:tcPr>
            <w:tcW w:w="1801" w:type="dxa"/>
          </w:tcPr>
          <w:p w14:paraId="1C0B35E2" w14:textId="77777777" w:rsidR="001F52B4" w:rsidRDefault="00B17EDB">
            <w:pPr>
              <w:pStyle w:val="TableParagraph"/>
              <w:spacing w:line="258" w:lineRule="exact"/>
              <w:ind w:left="358" w:right="341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</w:tr>
      <w:tr w:rsidR="001F52B4" w14:paraId="1C0B35E9" w14:textId="77777777" w:rsidTr="00BC3DFF">
        <w:trPr>
          <w:trHeight w:val="275"/>
        </w:trPr>
        <w:tc>
          <w:tcPr>
            <w:tcW w:w="1097" w:type="dxa"/>
          </w:tcPr>
          <w:p w14:paraId="1C0B35E4" w14:textId="77777777" w:rsidR="001F52B4" w:rsidRDefault="00B17EDB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51" w:type="dxa"/>
          </w:tcPr>
          <w:p w14:paraId="1C0B35E5" w14:textId="01579217" w:rsidR="001F52B4" w:rsidRDefault="00BC3DFF">
            <w:pPr>
              <w:pStyle w:val="TableParagraph"/>
              <w:spacing w:line="255" w:lineRule="exact"/>
              <w:ind w:right="55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15-20</w:t>
            </w:r>
          </w:p>
        </w:tc>
        <w:tc>
          <w:tcPr>
            <w:tcW w:w="2401" w:type="dxa"/>
          </w:tcPr>
          <w:p w14:paraId="1C0B35E6" w14:textId="77777777" w:rsidR="001F52B4" w:rsidRDefault="00B17EDB">
            <w:pPr>
              <w:pStyle w:val="TableParagraph"/>
              <w:spacing w:line="255" w:lineRule="exact"/>
              <w:ind w:left="222" w:right="205"/>
              <w:rPr>
                <w:sz w:val="24"/>
              </w:rPr>
            </w:pPr>
            <w:r>
              <w:rPr>
                <w:spacing w:val="-2"/>
                <w:sz w:val="24"/>
              </w:rPr>
              <w:t>$2,000,000</w:t>
            </w:r>
          </w:p>
        </w:tc>
        <w:tc>
          <w:tcPr>
            <w:tcW w:w="1441" w:type="dxa"/>
          </w:tcPr>
          <w:p w14:paraId="1C0B35E7" w14:textId="77777777" w:rsidR="001F52B4" w:rsidRDefault="00B17EDB">
            <w:pPr>
              <w:pStyle w:val="TableParagraph"/>
              <w:spacing w:line="255" w:lineRule="exact"/>
              <w:ind w:left="5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3%</w:t>
            </w:r>
          </w:p>
        </w:tc>
        <w:tc>
          <w:tcPr>
            <w:tcW w:w="1801" w:type="dxa"/>
          </w:tcPr>
          <w:p w14:paraId="1C0B35E8" w14:textId="77777777" w:rsidR="001F52B4" w:rsidRDefault="00B17EDB">
            <w:pPr>
              <w:pStyle w:val="TableParagraph"/>
              <w:spacing w:line="255" w:lineRule="exact"/>
              <w:ind w:left="358" w:right="343"/>
              <w:rPr>
                <w:sz w:val="24"/>
              </w:rPr>
            </w:pPr>
            <w:r>
              <w:rPr>
                <w:spacing w:val="-2"/>
                <w:sz w:val="24"/>
              </w:rPr>
              <w:t>($60,000)</w:t>
            </w:r>
          </w:p>
        </w:tc>
      </w:tr>
      <w:tr w:rsidR="001F52B4" w14:paraId="1C0B35EF" w14:textId="77777777" w:rsidTr="00BC3DFF">
        <w:trPr>
          <w:trHeight w:val="275"/>
        </w:trPr>
        <w:tc>
          <w:tcPr>
            <w:tcW w:w="1097" w:type="dxa"/>
          </w:tcPr>
          <w:p w14:paraId="1C0B35EA" w14:textId="77777777" w:rsidR="001F52B4" w:rsidRDefault="00B17EDB">
            <w:pPr>
              <w:pStyle w:val="TableParagraph"/>
              <w:spacing w:line="255" w:lineRule="exact"/>
              <w:ind w:left="1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51" w:type="dxa"/>
          </w:tcPr>
          <w:p w14:paraId="1C0B35EB" w14:textId="77777777" w:rsidR="001F52B4" w:rsidRDefault="00B17EDB">
            <w:pPr>
              <w:pStyle w:val="TableParagraph"/>
              <w:spacing w:line="255" w:lineRule="exact"/>
              <w:ind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21-</w:t>
            </w:r>
            <w:r>
              <w:rPr>
                <w:spacing w:val="-7"/>
                <w:sz w:val="24"/>
              </w:rPr>
              <w:t>50</w:t>
            </w:r>
          </w:p>
        </w:tc>
        <w:tc>
          <w:tcPr>
            <w:tcW w:w="2401" w:type="dxa"/>
          </w:tcPr>
          <w:p w14:paraId="1C0B35EC" w14:textId="77777777" w:rsidR="001F52B4" w:rsidRDefault="00B17EDB">
            <w:pPr>
              <w:pStyle w:val="TableParagraph"/>
              <w:spacing w:line="255" w:lineRule="exact"/>
              <w:ind w:left="222" w:right="205"/>
              <w:rPr>
                <w:sz w:val="24"/>
              </w:rPr>
            </w:pPr>
            <w:r>
              <w:rPr>
                <w:spacing w:val="-2"/>
                <w:sz w:val="24"/>
              </w:rPr>
              <w:t>$1,500,000</w:t>
            </w:r>
          </w:p>
        </w:tc>
        <w:tc>
          <w:tcPr>
            <w:tcW w:w="1441" w:type="dxa"/>
          </w:tcPr>
          <w:p w14:paraId="1C0B35ED" w14:textId="77777777" w:rsidR="001F52B4" w:rsidRDefault="00B17EDB">
            <w:pPr>
              <w:pStyle w:val="TableParagraph"/>
              <w:spacing w:line="255" w:lineRule="exact"/>
              <w:ind w:left="51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8%</w:t>
            </w:r>
          </w:p>
        </w:tc>
        <w:tc>
          <w:tcPr>
            <w:tcW w:w="1801" w:type="dxa"/>
          </w:tcPr>
          <w:p w14:paraId="1C0B35EE" w14:textId="77777777" w:rsidR="001F52B4" w:rsidRDefault="00B17EDB">
            <w:pPr>
              <w:pStyle w:val="TableParagraph"/>
              <w:spacing w:line="255" w:lineRule="exact"/>
              <w:ind w:left="358" w:right="343"/>
              <w:rPr>
                <w:sz w:val="24"/>
              </w:rPr>
            </w:pPr>
            <w:r>
              <w:rPr>
                <w:spacing w:val="-2"/>
                <w:sz w:val="24"/>
              </w:rPr>
              <w:t>($120,000)</w:t>
            </w:r>
          </w:p>
        </w:tc>
      </w:tr>
      <w:tr w:rsidR="001F52B4" w14:paraId="1C0B35F5" w14:textId="77777777" w:rsidTr="00BC3DFF">
        <w:trPr>
          <w:trHeight w:val="277"/>
        </w:trPr>
        <w:tc>
          <w:tcPr>
            <w:tcW w:w="1097" w:type="dxa"/>
          </w:tcPr>
          <w:p w14:paraId="1C0B35F0" w14:textId="77777777" w:rsidR="001F52B4" w:rsidRDefault="00B17EDB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651" w:type="dxa"/>
          </w:tcPr>
          <w:p w14:paraId="1C0B35F1" w14:textId="77777777" w:rsidR="001F52B4" w:rsidRDefault="00B17EDB">
            <w:pPr>
              <w:pStyle w:val="TableParagraph"/>
              <w:spacing w:line="258" w:lineRule="exact"/>
              <w:ind w:right="4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51-</w:t>
            </w:r>
            <w:r>
              <w:rPr>
                <w:spacing w:val="-7"/>
                <w:sz w:val="24"/>
              </w:rPr>
              <w:t>80</w:t>
            </w:r>
          </w:p>
        </w:tc>
        <w:tc>
          <w:tcPr>
            <w:tcW w:w="2401" w:type="dxa"/>
          </w:tcPr>
          <w:p w14:paraId="1C0B35F2" w14:textId="77777777" w:rsidR="001F52B4" w:rsidRDefault="00B17EDB">
            <w:pPr>
              <w:pStyle w:val="TableParagraph"/>
              <w:spacing w:line="258" w:lineRule="exact"/>
              <w:ind w:left="222" w:right="205"/>
              <w:rPr>
                <w:sz w:val="24"/>
              </w:rPr>
            </w:pPr>
            <w:r>
              <w:rPr>
                <w:spacing w:val="-2"/>
                <w:sz w:val="24"/>
              </w:rPr>
              <w:t>$1,000,000</w:t>
            </w:r>
          </w:p>
        </w:tc>
        <w:tc>
          <w:tcPr>
            <w:tcW w:w="1441" w:type="dxa"/>
          </w:tcPr>
          <w:p w14:paraId="1C0B35F3" w14:textId="77777777" w:rsidR="001F52B4" w:rsidRDefault="00B17EDB">
            <w:pPr>
              <w:pStyle w:val="TableParagraph"/>
              <w:spacing w:line="258" w:lineRule="exact"/>
              <w:ind w:left="4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15%</w:t>
            </w:r>
          </w:p>
        </w:tc>
        <w:tc>
          <w:tcPr>
            <w:tcW w:w="1801" w:type="dxa"/>
          </w:tcPr>
          <w:p w14:paraId="1C0B35F4" w14:textId="77777777" w:rsidR="001F52B4" w:rsidRDefault="00B17EDB">
            <w:pPr>
              <w:pStyle w:val="TableParagraph"/>
              <w:spacing w:line="258" w:lineRule="exact"/>
              <w:ind w:left="358" w:right="343"/>
              <w:rPr>
                <w:sz w:val="24"/>
              </w:rPr>
            </w:pPr>
            <w:r>
              <w:rPr>
                <w:spacing w:val="-2"/>
                <w:sz w:val="24"/>
              </w:rPr>
              <w:t>($150,000)</w:t>
            </w:r>
          </w:p>
        </w:tc>
      </w:tr>
      <w:tr w:rsidR="001F52B4" w14:paraId="1C0B35FB" w14:textId="77777777" w:rsidTr="00BC3DFF">
        <w:trPr>
          <w:trHeight w:val="275"/>
        </w:trPr>
        <w:tc>
          <w:tcPr>
            <w:tcW w:w="1097" w:type="dxa"/>
          </w:tcPr>
          <w:p w14:paraId="1C0B35F6" w14:textId="77777777" w:rsidR="001F52B4" w:rsidRDefault="00B17EDB">
            <w:pPr>
              <w:pStyle w:val="TableParagraph"/>
              <w:spacing w:line="255" w:lineRule="exact"/>
              <w:ind w:left="2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651" w:type="dxa"/>
          </w:tcPr>
          <w:p w14:paraId="1C0B35F7" w14:textId="77777777" w:rsidR="001F52B4" w:rsidRDefault="00B17EDB">
            <w:pPr>
              <w:pStyle w:val="TableParagraph"/>
              <w:spacing w:line="255" w:lineRule="exact"/>
              <w:ind w:left="596" w:right="579"/>
              <w:rPr>
                <w:sz w:val="24"/>
              </w:rPr>
            </w:pPr>
            <w:r>
              <w:rPr>
                <w:spacing w:val="-5"/>
                <w:sz w:val="24"/>
              </w:rPr>
              <w:t>&gt;81</w:t>
            </w:r>
          </w:p>
        </w:tc>
        <w:tc>
          <w:tcPr>
            <w:tcW w:w="2401" w:type="dxa"/>
          </w:tcPr>
          <w:p w14:paraId="1C0B35F8" w14:textId="77777777" w:rsidR="001F52B4" w:rsidRDefault="00B17EDB">
            <w:pPr>
              <w:pStyle w:val="TableParagraph"/>
              <w:spacing w:line="255" w:lineRule="exact"/>
              <w:ind w:left="222" w:right="202"/>
              <w:rPr>
                <w:sz w:val="24"/>
              </w:rPr>
            </w:pPr>
            <w:r>
              <w:rPr>
                <w:spacing w:val="-2"/>
                <w:sz w:val="24"/>
              </w:rPr>
              <w:t>$750,000</w:t>
            </w:r>
          </w:p>
        </w:tc>
        <w:tc>
          <w:tcPr>
            <w:tcW w:w="1441" w:type="dxa"/>
          </w:tcPr>
          <w:p w14:paraId="1C0B35F9" w14:textId="77777777" w:rsidR="001F52B4" w:rsidRDefault="00B17EDB">
            <w:pPr>
              <w:pStyle w:val="TableParagraph"/>
              <w:spacing w:line="255" w:lineRule="exact"/>
              <w:ind w:left="45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5"/>
                <w:sz w:val="24"/>
              </w:rPr>
              <w:t>25%</w:t>
            </w:r>
          </w:p>
        </w:tc>
        <w:tc>
          <w:tcPr>
            <w:tcW w:w="1801" w:type="dxa"/>
          </w:tcPr>
          <w:p w14:paraId="1C0B35FA" w14:textId="77777777" w:rsidR="001F52B4" w:rsidRDefault="00B17EDB">
            <w:pPr>
              <w:pStyle w:val="TableParagraph"/>
              <w:spacing w:line="255" w:lineRule="exact"/>
              <w:ind w:left="358" w:right="343"/>
              <w:rPr>
                <w:sz w:val="24"/>
              </w:rPr>
            </w:pPr>
            <w:r>
              <w:rPr>
                <w:spacing w:val="-2"/>
                <w:sz w:val="24"/>
              </w:rPr>
              <w:t>($187,500)</w:t>
            </w:r>
          </w:p>
        </w:tc>
      </w:tr>
      <w:tr w:rsidR="001F52B4" w14:paraId="1C0B3601" w14:textId="77777777" w:rsidTr="00BC3DFF">
        <w:trPr>
          <w:trHeight w:val="277"/>
        </w:trPr>
        <w:tc>
          <w:tcPr>
            <w:tcW w:w="1097" w:type="dxa"/>
          </w:tcPr>
          <w:p w14:paraId="1C0B35FC" w14:textId="77777777" w:rsidR="001F52B4" w:rsidRDefault="00B17EDB">
            <w:pPr>
              <w:pStyle w:val="TableParagraph"/>
              <w:spacing w:line="258" w:lineRule="exact"/>
              <w:ind w:left="91" w:right="76"/>
              <w:rPr>
                <w:sz w:val="24"/>
              </w:rPr>
            </w:pPr>
            <w:r>
              <w:rPr>
                <w:spacing w:val="-2"/>
                <w:sz w:val="24"/>
              </w:rPr>
              <w:t>Totals</w:t>
            </w:r>
          </w:p>
        </w:tc>
        <w:tc>
          <w:tcPr>
            <w:tcW w:w="1651" w:type="dxa"/>
          </w:tcPr>
          <w:p w14:paraId="1C0B35FD" w14:textId="77777777" w:rsidR="001F52B4" w:rsidRDefault="001F52B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01" w:type="dxa"/>
          </w:tcPr>
          <w:p w14:paraId="1C0B35FE" w14:textId="77777777" w:rsidR="001F52B4" w:rsidRDefault="00B17EDB">
            <w:pPr>
              <w:pStyle w:val="TableParagraph"/>
              <w:spacing w:line="258" w:lineRule="exact"/>
              <w:ind w:left="222" w:right="205"/>
              <w:rPr>
                <w:sz w:val="24"/>
              </w:rPr>
            </w:pPr>
            <w:r>
              <w:rPr>
                <w:spacing w:val="-2"/>
                <w:sz w:val="24"/>
              </w:rPr>
              <w:t>$6,000,000</w:t>
            </w:r>
          </w:p>
        </w:tc>
        <w:tc>
          <w:tcPr>
            <w:tcW w:w="1441" w:type="dxa"/>
          </w:tcPr>
          <w:p w14:paraId="1C0B35FF" w14:textId="77777777" w:rsidR="001F52B4" w:rsidRDefault="001F52B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01" w:type="dxa"/>
          </w:tcPr>
          <w:p w14:paraId="1C0B3600" w14:textId="77777777" w:rsidR="001F52B4" w:rsidRDefault="00B17EDB">
            <w:pPr>
              <w:pStyle w:val="TableParagraph"/>
              <w:spacing w:line="258" w:lineRule="exact"/>
              <w:ind w:left="357" w:right="343"/>
              <w:rPr>
                <w:sz w:val="24"/>
              </w:rPr>
            </w:pPr>
            <w:r>
              <w:rPr>
                <w:spacing w:val="-2"/>
                <w:sz w:val="24"/>
              </w:rPr>
              <w:t>$517,500</w:t>
            </w:r>
          </w:p>
        </w:tc>
      </w:tr>
    </w:tbl>
    <w:p w14:paraId="1C0B3602" w14:textId="77777777" w:rsidR="001F52B4" w:rsidRDefault="001F52B4">
      <w:pPr>
        <w:pStyle w:val="BodyText"/>
        <w:spacing w:before="8"/>
        <w:rPr>
          <w:sz w:val="23"/>
        </w:rPr>
      </w:pPr>
    </w:p>
    <w:p w14:paraId="1C0B3603" w14:textId="77777777" w:rsidR="001F52B4" w:rsidRDefault="00B17EDB">
      <w:pPr>
        <w:pStyle w:val="BodyText"/>
        <w:ind w:left="220"/>
      </w:pPr>
      <w:r>
        <w:t>Backorder</w:t>
      </w:r>
      <w:r>
        <w:rPr>
          <w:spacing w:val="-2"/>
        </w:rPr>
        <w:t xml:space="preserve"> </w:t>
      </w:r>
      <w:r>
        <w:t>Disincentive</w:t>
      </w:r>
      <w:r>
        <w:rPr>
          <w:spacing w:val="-2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$517,500</w:t>
      </w:r>
    </w:p>
    <w:p w14:paraId="1C0B3604" w14:textId="77777777" w:rsidR="001F52B4" w:rsidRDefault="001F52B4">
      <w:pPr>
        <w:pStyle w:val="BodyText"/>
        <w:spacing w:before="9"/>
        <w:rPr>
          <w:sz w:val="23"/>
        </w:rPr>
      </w:pPr>
    </w:p>
    <w:p w14:paraId="1C0B3605" w14:textId="5629D000" w:rsidR="001F52B4" w:rsidRDefault="00B17EDB">
      <w:pPr>
        <w:pStyle w:val="BodyText"/>
        <w:ind w:left="220"/>
      </w:pPr>
      <w:r>
        <w:t>The</w:t>
      </w:r>
      <w:r>
        <w:rPr>
          <w:spacing w:val="-5"/>
        </w:rPr>
        <w:t xml:space="preserve"> </w:t>
      </w:r>
      <w:r>
        <w:t>Backorder</w:t>
      </w:r>
      <w:r>
        <w:rPr>
          <w:spacing w:val="-3"/>
        </w:rPr>
        <w:t xml:space="preserve"> </w:t>
      </w:r>
      <w:r>
        <w:t>disincentive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tracked</w:t>
      </w:r>
      <w:r>
        <w:rPr>
          <w:spacing w:val="-3"/>
        </w:rPr>
        <w:t xml:space="preserve"> </w:t>
      </w:r>
      <w:r>
        <w:t>monthly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calculated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basis.</w:t>
      </w:r>
      <w:r>
        <w:rPr>
          <w:spacing w:val="4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disincentive 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 value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 late</w:t>
      </w:r>
      <w:r>
        <w:rPr>
          <w:spacing w:val="-2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order(s)</w:t>
      </w:r>
      <w:r>
        <w:rPr>
          <w:spacing w:val="-1"/>
        </w:rPr>
        <w:t xml:space="preserve"> </w:t>
      </w:r>
      <w:r>
        <w:t>in each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 xml:space="preserve">categories for each defined </w:t>
      </w:r>
      <w:r w:rsidR="00A95286">
        <w:t>12-month</w:t>
      </w:r>
      <w:r>
        <w:t xml:space="preserve"> performance period.</w:t>
      </w:r>
      <w:r>
        <w:rPr>
          <w:spacing w:val="40"/>
        </w:rPr>
        <w:t xml:space="preserve"> </w:t>
      </w:r>
      <w:r>
        <w:t>The disincentive amount will be deducted in a lump sum 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 w:rsidR="00E72FF3">
        <w:t>charge</w:t>
      </w:r>
      <w:r>
        <w:rPr>
          <w:spacing w:val="-4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period(s)</w:t>
      </w:r>
      <w:r>
        <w:rPr>
          <w:spacing w:val="-3"/>
        </w:rPr>
        <w:t xml:space="preserve"> </w:t>
      </w:r>
      <w:r>
        <w:t>immediately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95286">
        <w:t>12</w:t>
      </w:r>
      <w:r w:rsidR="00A95286">
        <w:rPr>
          <w:spacing w:val="-3"/>
        </w:rPr>
        <w:t>-month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period. Backorder disincentives will commence with Contract Year 3 (Performance Year 2).</w:t>
      </w:r>
    </w:p>
    <w:p w14:paraId="1C0B3606" w14:textId="77777777" w:rsidR="001F52B4" w:rsidRDefault="001F52B4">
      <w:pPr>
        <w:pStyle w:val="BodyText"/>
      </w:pPr>
    </w:p>
    <w:p w14:paraId="1C0B3607" w14:textId="23816E11" w:rsidR="001F52B4" w:rsidRDefault="00B17EDB">
      <w:pPr>
        <w:pStyle w:val="BodyText"/>
        <w:spacing w:before="1"/>
        <w:ind w:left="220"/>
      </w:pPr>
      <w:r>
        <w:t>Orders</w:t>
      </w:r>
      <w:r>
        <w:rPr>
          <w:spacing w:val="-2"/>
        </w:rPr>
        <w:t xml:space="preserve"> </w:t>
      </w:r>
      <w:r>
        <w:t>excluded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CDFR metric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excluded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Backorder </w:t>
      </w:r>
      <w:r>
        <w:rPr>
          <w:spacing w:val="-2"/>
        </w:rPr>
        <w:t>disincentive.</w:t>
      </w:r>
    </w:p>
    <w:p w14:paraId="1C0B3608" w14:textId="77777777" w:rsidR="001F52B4" w:rsidRDefault="001F52B4">
      <w:pPr>
        <w:pStyle w:val="BodyText"/>
        <w:spacing w:before="4"/>
      </w:pPr>
    </w:p>
    <w:p w14:paraId="1C0B361F" w14:textId="77777777" w:rsidR="001F52B4" w:rsidRDefault="00B17EDB">
      <w:pPr>
        <w:pStyle w:val="Heading1"/>
      </w:pPr>
      <w:r>
        <w:t>H-906</w:t>
      </w:r>
      <w:r>
        <w:rPr>
          <w:spacing w:val="56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ADDED 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CONTRACT</w:t>
      </w:r>
    </w:p>
    <w:p w14:paraId="1C0B3620" w14:textId="1F6AE624" w:rsidR="001F52B4" w:rsidRDefault="00B17EDB">
      <w:pPr>
        <w:pStyle w:val="BodyText"/>
        <w:ind w:left="220" w:right="245"/>
      </w:pPr>
      <w:r>
        <w:t>The Government will notify the contractor at the time an item is contemplated to be added to this contract.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contractor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proposal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item</w:t>
      </w:r>
      <w:r w:rsidR="00F74D1E">
        <w:t>(s)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 w:rsidR="00F74D1E">
        <w:t>30</w:t>
      </w:r>
      <w:r>
        <w:rPr>
          <w:spacing w:val="-4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 contracting</w:t>
      </w:r>
      <w:r>
        <w:rPr>
          <w:spacing w:val="-4"/>
        </w:rPr>
        <w:t xml:space="preserve"> </w:t>
      </w:r>
      <w:r>
        <w:t>officer</w:t>
      </w:r>
      <w:r w:rsidR="00F74D1E">
        <w:t>.  For emergency adds, the proposal will be due within five days of notification from the contracting officer</w:t>
      </w:r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negotiated</w:t>
      </w:r>
      <w:r>
        <w:rPr>
          <w:spacing w:val="-2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in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remaining</w:t>
      </w:r>
      <w:r>
        <w:rPr>
          <w:spacing w:val="-2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 be included in all future EPA adjustments.</w:t>
      </w:r>
    </w:p>
    <w:sectPr w:rsidR="001F52B4">
      <w:footerReference w:type="default" r:id="rId7"/>
      <w:pgSz w:w="12240" w:h="15840"/>
      <w:pgMar w:top="1000" w:right="980" w:bottom="1260" w:left="86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FA862" w14:textId="77777777" w:rsidR="006A754C" w:rsidRDefault="006A754C">
      <w:r>
        <w:separator/>
      </w:r>
    </w:p>
  </w:endnote>
  <w:endnote w:type="continuationSeparator" w:id="0">
    <w:p w14:paraId="558101D7" w14:textId="77777777" w:rsidR="006A754C" w:rsidRDefault="006A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3621" w14:textId="77777777" w:rsidR="001F52B4" w:rsidRDefault="00B17ED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C0B3622" wp14:editId="1C0B3623">
              <wp:simplePos x="0" y="0"/>
              <wp:positionH relativeFrom="page">
                <wp:posOffset>6973569</wp:posOffset>
              </wp:positionH>
              <wp:positionV relativeFrom="page">
                <wp:posOffset>9242077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0B3624" w14:textId="77777777" w:rsidR="001F52B4" w:rsidRDefault="00B17ED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B36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.1pt;margin-top:727.7pt;width:13pt;height:15.3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Adwt004QAAAA8B&#10;AAAPAAAAAAAAAAAAAAAAAOwDAABkcnMvZG93bnJldi54bWxQSwUGAAAAAAQABADzAAAA+gQAAAAA&#10;" filled="f" stroked="f">
              <v:textbox inset="0,0,0,0">
                <w:txbxContent>
                  <w:p w14:paraId="1C0B3624" w14:textId="77777777" w:rsidR="001F52B4" w:rsidRDefault="00B17EDB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FF0B" w14:textId="77777777" w:rsidR="006A754C" w:rsidRDefault="006A754C">
      <w:r>
        <w:separator/>
      </w:r>
    </w:p>
  </w:footnote>
  <w:footnote w:type="continuationSeparator" w:id="0">
    <w:p w14:paraId="7124DCF8" w14:textId="77777777" w:rsidR="006A754C" w:rsidRDefault="006A7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B0447"/>
    <w:multiLevelType w:val="hybridMultilevel"/>
    <w:tmpl w:val="AA645976"/>
    <w:lvl w:ilvl="0" w:tplc="81DEA838">
      <w:start w:val="1"/>
      <w:numFmt w:val="lowerLetter"/>
      <w:lvlText w:val="%1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FDC2812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2" w:tplc="91864156"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3" w:tplc="15C47728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4" w:tplc="9D707894"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5" w:tplc="4D924642"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6" w:tplc="E31669F0"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 w:tplc="9B8A980E"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 w:tplc="CD34D586">
      <w:numFmt w:val="bullet"/>
      <w:lvlText w:val="•"/>
      <w:lvlJc w:val="left"/>
      <w:pPr>
        <w:ind w:left="8724" w:hanging="360"/>
      </w:pPr>
      <w:rPr>
        <w:rFonts w:hint="default"/>
        <w:lang w:val="en-US" w:eastAsia="en-US" w:bidi="ar-SA"/>
      </w:rPr>
    </w:lvl>
  </w:abstractNum>
  <w:num w:numId="1" w16cid:durableId="20699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B4"/>
    <w:rsid w:val="00063E61"/>
    <w:rsid w:val="00075A28"/>
    <w:rsid w:val="00077C8D"/>
    <w:rsid w:val="000D18C2"/>
    <w:rsid w:val="000D1B0E"/>
    <w:rsid w:val="00126D81"/>
    <w:rsid w:val="001F52B4"/>
    <w:rsid w:val="00273730"/>
    <w:rsid w:val="002A6F0E"/>
    <w:rsid w:val="003368FD"/>
    <w:rsid w:val="003C56AF"/>
    <w:rsid w:val="003C7E98"/>
    <w:rsid w:val="003F7C3E"/>
    <w:rsid w:val="00450423"/>
    <w:rsid w:val="00467F37"/>
    <w:rsid w:val="004F090C"/>
    <w:rsid w:val="005F10BE"/>
    <w:rsid w:val="00645B47"/>
    <w:rsid w:val="00696B5A"/>
    <w:rsid w:val="006A754C"/>
    <w:rsid w:val="006F3942"/>
    <w:rsid w:val="007424DD"/>
    <w:rsid w:val="00753B2E"/>
    <w:rsid w:val="00890009"/>
    <w:rsid w:val="00896644"/>
    <w:rsid w:val="008B39DE"/>
    <w:rsid w:val="009C3C09"/>
    <w:rsid w:val="00A95286"/>
    <w:rsid w:val="00B17EDB"/>
    <w:rsid w:val="00B9580E"/>
    <w:rsid w:val="00BC3DFF"/>
    <w:rsid w:val="00C23C2D"/>
    <w:rsid w:val="00C62422"/>
    <w:rsid w:val="00C7073E"/>
    <w:rsid w:val="00CB3327"/>
    <w:rsid w:val="00D40E2A"/>
    <w:rsid w:val="00DC1F6C"/>
    <w:rsid w:val="00E11C34"/>
    <w:rsid w:val="00E23188"/>
    <w:rsid w:val="00E72FF3"/>
    <w:rsid w:val="00EA04AD"/>
    <w:rsid w:val="00EA3857"/>
    <w:rsid w:val="00EE2120"/>
    <w:rsid w:val="00F526D7"/>
    <w:rsid w:val="00F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B3569"/>
  <w15:docId w15:val="{315A94C6-D6C8-48D0-99A2-6EE6B785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4" w:lineRule="exact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20" w:right="173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  <w:style w:type="paragraph" w:customStyle="1" w:styleId="Default">
    <w:name w:val="Default"/>
    <w:basedOn w:val="Normal"/>
    <w:rsid w:val="00C62422"/>
    <w:pPr>
      <w:widowControl/>
    </w:pPr>
    <w:rPr>
      <w:rFonts w:eastAsiaTheme="minorHAns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6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D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1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8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D1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8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Parker, Amanda M CIV DLA AVIATION (USA)</dc:creator>
  <cp:lastModifiedBy>Parker, Amanda M CIV DLA AVIATION (USA)</cp:lastModifiedBy>
  <cp:revision>4</cp:revision>
  <dcterms:created xsi:type="dcterms:W3CDTF">2024-01-31T18:48:00Z</dcterms:created>
  <dcterms:modified xsi:type="dcterms:W3CDTF">2024-06-12T17:41:00Z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LastSaved">
    <vt:filetime>2023-11-15T00:00:00Z</vt:filetime>
  </property>
</Properties>
</file>